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460" w:lineRule="exact"/>
        <w:ind w:firstLine="0" w:firstLineChars="0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eastAsia="宋体" w:cs="Times New Roman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173355</wp:posOffset>
                </wp:positionV>
                <wp:extent cx="1933575" cy="3746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310" y="1020445"/>
                          <a:ext cx="1933575" cy="374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1"/>
                                <w:szCs w:val="22"/>
                                <w:lang w:eastAsia="zh-CN"/>
                              </w:rPr>
                              <w:t>应聘岗位：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7pt;margin-top:13.65pt;height:29.5pt;width:152.25pt;z-index:251659264;mso-width-relative:page;mso-height-relative:page;" filled="f" stroked="f" coordsize="21600,21600" o:gfxdata="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RdbwLcAAAACQEAAA8AAAAAAAAAAQAg&#10;AAAAIgAAAGRycy9kb3ducmV2LnhtbFBLAQIUABQAAAAIAIdO4kB3mp9wfAIAANEEAAAOAAAAAAAA&#10;AAEAIAAAACsBAABkcnMvZTJvRG9jLnhtbFBLBQYAAAAABgAGAFkBAAAZBgAAAAA=&#10;">
                <v:fill on="f" focussize="0,0"/>
                <v:stroke on="f" weight="2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hint="default" w:ascii="仿宋" w:hAnsi="仿宋" w:eastAsia="仿宋" w:cs="仿宋"/>
                          <w:b/>
                          <w:bCs/>
                          <w:sz w:val="21"/>
                          <w:szCs w:val="2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1"/>
                          <w:szCs w:val="22"/>
                          <w:lang w:eastAsia="zh-CN"/>
                        </w:rPr>
                        <w:t>应聘岗位：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应聘信息登记表</w:t>
      </w:r>
    </w:p>
    <w:tbl>
      <w:tblPr>
        <w:tblStyle w:val="3"/>
        <w:tblpPr w:leftFromText="180" w:rightFromText="180" w:vertAnchor="text" w:horzAnchor="page" w:tblpX="926" w:tblpY="367"/>
        <w:tblOverlap w:val="never"/>
        <w:tblW w:w="10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70"/>
        <w:gridCol w:w="263"/>
        <w:gridCol w:w="120"/>
        <w:gridCol w:w="729"/>
        <w:gridCol w:w="285"/>
        <w:gridCol w:w="139"/>
        <w:gridCol w:w="252"/>
        <w:gridCol w:w="129"/>
        <w:gridCol w:w="616"/>
        <w:gridCol w:w="280"/>
        <w:gridCol w:w="128"/>
        <w:gridCol w:w="332"/>
        <w:gridCol w:w="536"/>
        <w:gridCol w:w="408"/>
        <w:gridCol w:w="158"/>
        <w:gridCol w:w="481"/>
        <w:gridCol w:w="262"/>
        <w:gridCol w:w="126"/>
        <w:gridCol w:w="265"/>
        <w:gridCol w:w="882"/>
        <w:gridCol w:w="2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基本信息（必填）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FFFFFF"/>
                <w:sz w:val="21"/>
                <w:szCs w:val="21"/>
              </w:rPr>
              <w:t>待定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FFFFFF"/>
                <w:sz w:val="21"/>
                <w:szCs w:val="21"/>
              </w:rPr>
              <w:t>待定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    贯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color w:val="FFFFFF"/>
                <w:sz w:val="21"/>
                <w:szCs w:val="21"/>
              </w:rPr>
              <w:t>待定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生育状况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技能/特长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    业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34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户籍地址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紧急联系人姓名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教育经历（从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入学日期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学历取得方式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重点工作经历（不含实习经历）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以下工作经历请填写最近一期工作经历，或与应聘岗位紧密相关的工作经历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工作职责</w:t>
            </w:r>
          </w:p>
        </w:tc>
        <w:tc>
          <w:tcPr>
            <w:tcW w:w="9073" w:type="dxa"/>
            <w:gridSpan w:val="2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税前年薪</w:t>
            </w:r>
          </w:p>
        </w:tc>
        <w:tc>
          <w:tcPr>
            <w:tcW w:w="27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离职原因</w:t>
            </w:r>
          </w:p>
        </w:tc>
        <w:tc>
          <w:tcPr>
            <w:tcW w:w="526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其他工作经历（不含实习经历）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时间段有断档默认为在家待业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社会活动及实践（应届生填写）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实习单位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实习内容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证书名称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颁发机构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获证时间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家庭成员姓名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工作单位及部门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社会关系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（应聘前已与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湖南省拍卖行有限责任公司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在职员工之间存在的其他血亲、姻亲、同学、前同事等认识及熟知的社会关系，若没有，则填无）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在职员工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身体状况（必填）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是否有工伤认定经历     □是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是否存在工伤鉴定等级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是否有精神病史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是否患有重大疾病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是否有家族遗传病史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是否有缺陷、残疾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是否已有身孕    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是否有传染病史    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是否从事有毒有害工种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1.是否与其他企业签订保密、竞业限制或服务期协议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2.是否与其他用人单位有未尽法律事宜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3.是否有违法违纪行为或犯罪记录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4.有无行政及党内处分          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5.是否能接受工作地点调整或频繁出差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6.若不符应聘岗位要求，是否愿意接受其他岗位推荐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7.期望年薪（税前）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8.可到职日期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9.如有配偶，是否异地工作、长期分居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93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46" w:leftChars="-83"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1 10.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五险一金参加情况            □已参加养老保险□已参加医疗保险□已参加失业保险□已参加住房公积金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46" w:leftChars="-83"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1 11.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□以上均未参加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27" w:leftChars="649" w:firstLine="0" w:firstLineChars="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               原社保缴交地：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93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声明及授权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293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兹声明本人以上所填写全部内容完全真实、准确详尽，所提供相关证书材料等均无虚假不实，并不存在任何隐瞒与伪造，更无遗漏之处，本人了解被雇用后，本人所提供的任何错误说明或者虚假信息都可成为被解雇的理由，并同意公司立即解除已签订的劳动合同且无任何经济补偿，本人同时承担相应法律责任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2.兹声明本人同意授权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湖南省拍卖行有限责任公司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对本人教育经历、工作经历、财务状况和其他信息进行雇前背景调查。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声明人：  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3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隐私保护条款：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司承诺保护您的隐私权。隐私权是您的重要权利，向我们提供您的个人资料是基于对我们的信任，我们会以负责的态度对待您的个人资料。您在求职面试过程中会被要求提供一系列个人基本信息，如联系方式、教育经历、工作经历等等。我们将采取合理的措施尽最大可能保护您的个人资料。除非根据法律或政策的强制性规定，在未得到您的许可之前，我们不会把您的任何个人资料提供给与人力资源管理无关的第三方。</w:t>
            </w:r>
          </w:p>
        </w:tc>
      </w:tr>
    </w:tbl>
    <w:p>
      <w:pPr>
        <w:pStyle w:val="2"/>
        <w:ind w:left="0" w:leftChars="0" w:firstLine="0" w:firstLineChars="0"/>
        <w:rPr>
          <w:rFonts w:ascii="方正小标宋简体" w:hAnsi="宋体" w:eastAsia="方正小标宋简体" w:cs="Times New Roman"/>
          <w:sz w:val="10"/>
          <w:szCs w:val="1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职称证书或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执业资格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身份证正反面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4" w:hRule="exact"/>
          <w:jc w:val="center"/>
        </w:trPr>
        <w:tc>
          <w:tcPr>
            <w:tcW w:w="10178" w:type="dxa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其他证书：</w:t>
            </w:r>
          </w:p>
          <w:p>
            <w:pPr>
              <w:pStyle w:val="2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Times New Roman" w:hAnsi="Times New Roman" w:eastAsia="方正仿宋简体" w:cstheme="minorBidi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MzYzA2NjBjZjhhNzc1ODU5ZmExY2Q5Nzg3NmMifQ=="/>
  </w:docVars>
  <w:rsids>
    <w:rsidRoot w:val="19871629"/>
    <w:rsid w:val="0E1D4EA7"/>
    <w:rsid w:val="19871629"/>
    <w:rsid w:val="364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2025-07-30T02:00:00Z</dcterms:created>
  <dc:creator>赖方晖</dc:creator>
  <cp:lastModifiedBy>赖方晖</cp:lastModifiedBy>
  <dcterms:modified xsi:type="dcterms:W3CDTF">2025-07-30T02:01:11Z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7201F632F45B417C83ECA291D6469E01</vt:lpwstr>
  </property>
</Properties>
</file>