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line="560" w:lineRule="exact"/>
        <w:textAlignment w:val="auto"/>
        <w:outlineLvl w:val="9"/>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val="en-US" w:eastAsia="zh-CN"/>
        </w:rPr>
        <w:t>附件</w:t>
      </w:r>
      <w:r>
        <w:rPr>
          <w:rFonts w:hint="default" w:ascii="Times New Roman" w:hAnsi="Times New Roman" w:eastAsia="黑体" w:cs="Times New Roman"/>
          <w:color w:val="000000"/>
          <w:sz w:val="32"/>
          <w:szCs w:val="32"/>
          <w:highlight w:val="none"/>
          <w:lang w:eastAsia="zh-CN"/>
        </w:rPr>
        <w:t>1</w:t>
      </w:r>
    </w:p>
    <w:p>
      <w:pPr>
        <w:pStyle w:val="5"/>
        <w:keepNext w:val="0"/>
        <w:keepLines w:val="0"/>
        <w:pageBreakBefore w:val="0"/>
        <w:kinsoku/>
        <w:wordWrap/>
        <w:overflowPunct/>
        <w:topLinePunct w:val="0"/>
        <w:autoSpaceDN/>
        <w:bidi w:val="0"/>
        <w:spacing w:line="560" w:lineRule="exact"/>
        <w:textAlignment w:val="auto"/>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sz w:val="44"/>
          <w:szCs w:val="44"/>
          <w:highlight w:val="none"/>
          <w:lang w:eastAsia="zh-CN"/>
        </w:rPr>
      </w:pPr>
      <w:bookmarkStart w:id="0" w:name="_GoBack"/>
      <w:r>
        <w:rPr>
          <w:rFonts w:hint="default" w:ascii="Times New Roman" w:hAnsi="Times New Roman" w:eastAsia="方正小标宋简体" w:cs="Times New Roman"/>
          <w:color w:val="000000"/>
          <w:sz w:val="44"/>
          <w:szCs w:val="44"/>
          <w:highlight w:val="none"/>
          <w:lang w:val="en-US" w:eastAsia="zh-CN"/>
        </w:rPr>
        <w:t>湘西自治州人才引进分类目录</w:t>
      </w:r>
      <w:r>
        <w:rPr>
          <w:rFonts w:hint="default" w:ascii="Times New Roman" w:hAnsi="Times New Roman" w:eastAsia="方正小标宋简体" w:cs="Times New Roman"/>
          <w:color w:val="000000"/>
          <w:sz w:val="44"/>
          <w:szCs w:val="44"/>
          <w:highlight w:val="none"/>
          <w:lang w:eastAsia="zh-CN"/>
        </w:rPr>
        <w:t>及相关待遇</w:t>
      </w:r>
    </w:p>
    <w:bookmarkEnd w:id="0"/>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000000"/>
          <w:sz w:val="32"/>
          <w:szCs w:val="32"/>
          <w:highlight w:val="none"/>
        </w:rPr>
      </w:pPr>
    </w:p>
    <w:tbl>
      <w:tblPr>
        <w:tblStyle w:val="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15"/>
        <w:gridCol w:w="5362"/>
        <w:gridCol w:w="139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4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vertAlign w:val="baseline"/>
                <w:lang w:val="en-US" w:eastAsia="zh-CN"/>
              </w:rPr>
              <w:t>类别</w:t>
            </w:r>
          </w:p>
        </w:tc>
        <w:tc>
          <w:tcPr>
            <w:tcW w:w="5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kern w:val="2"/>
                <w:sz w:val="28"/>
                <w:szCs w:val="28"/>
                <w:highlight w:val="none"/>
                <w:vertAlign w:val="baseline"/>
                <w:lang w:val="en-US" w:eastAsia="zh-CN" w:bidi="ar-SA"/>
              </w:rPr>
            </w:pPr>
            <w:r>
              <w:rPr>
                <w:rFonts w:hint="eastAsia" w:ascii="黑体" w:hAnsi="黑体" w:eastAsia="黑体" w:cs="黑体"/>
                <w:color w:val="000000"/>
                <w:sz w:val="28"/>
                <w:szCs w:val="28"/>
                <w:highlight w:val="none"/>
                <w:vertAlign w:val="baseline"/>
                <w:lang w:val="en-US" w:eastAsia="zh-CN"/>
              </w:rPr>
              <w:t>认定条件</w:t>
            </w:r>
          </w:p>
        </w:tc>
        <w:tc>
          <w:tcPr>
            <w:tcW w:w="13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kern w:val="2"/>
                <w:sz w:val="28"/>
                <w:szCs w:val="28"/>
                <w:highlight w:val="none"/>
                <w:vertAlign w:val="baseline"/>
                <w:lang w:val="en-US" w:eastAsia="zh-CN" w:bidi="ar-SA"/>
              </w:rPr>
            </w:pPr>
            <w:r>
              <w:rPr>
                <w:rFonts w:hint="eastAsia" w:ascii="黑体" w:hAnsi="黑体" w:eastAsia="黑体" w:cs="黑体"/>
                <w:color w:val="auto"/>
                <w:sz w:val="28"/>
                <w:szCs w:val="28"/>
                <w:highlight w:val="none"/>
                <w:vertAlign w:val="baseline"/>
                <w:lang w:val="en-US" w:eastAsia="zh-CN"/>
              </w:rPr>
              <w:t>购房补助</w:t>
            </w:r>
          </w:p>
        </w:tc>
        <w:tc>
          <w:tcPr>
            <w:tcW w:w="15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kern w:val="2"/>
                <w:sz w:val="28"/>
                <w:szCs w:val="28"/>
                <w:highlight w:val="none"/>
                <w:vertAlign w:val="baseline"/>
                <w:lang w:val="en-US" w:eastAsia="zh-CN" w:bidi="ar-SA"/>
              </w:rPr>
            </w:pPr>
            <w:r>
              <w:rPr>
                <w:rFonts w:hint="eastAsia" w:ascii="黑体" w:hAnsi="黑体" w:eastAsia="黑体" w:cs="黑体"/>
                <w:color w:val="auto"/>
                <w:sz w:val="28"/>
                <w:szCs w:val="28"/>
                <w:highlight w:val="none"/>
                <w:vertAlign w:val="baseline"/>
                <w:lang w:val="en-US" w:eastAsia="zh-CN"/>
              </w:rPr>
              <w:t>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4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黑体" w:hAnsi="黑体" w:eastAsia="黑体" w:cs="黑体"/>
                <w:color w:val="000000"/>
                <w:sz w:val="28"/>
                <w:szCs w:val="28"/>
                <w:highlight w:val="none"/>
              </w:rPr>
              <w:t>A类</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vertAlign w:val="baseline"/>
                <w:lang w:val="en-US" w:eastAsia="zh-CN"/>
              </w:rPr>
              <w:t>国际顶尖专家。主要包括：1．诺贝尔奖、中国国家最高科学技术奖、图灵奖等国际知名科学技术奖项获得者；2．中国科学院院士、中国工程院院士；3．国家自然科学奖、国家科技发明奖、国家科学技术进步</w:t>
            </w:r>
            <w:r>
              <w:rPr>
                <w:rFonts w:hint="eastAsia" w:ascii="仿宋_GB2312" w:hAnsi="仿宋_GB2312" w:eastAsia="仿宋_GB2312" w:cs="仿宋_GB2312"/>
                <w:color w:val="000000"/>
                <w:spacing w:val="8"/>
                <w:sz w:val="28"/>
                <w:szCs w:val="28"/>
                <w:highlight w:val="none"/>
                <w:vertAlign w:val="baseline"/>
                <w:lang w:val="en-US" w:eastAsia="zh-CN"/>
              </w:rPr>
              <w:t>奖一等奖前3名获得者；4．世界 500 强企业总部首席执行官、首席运营官、首席技术官；5．其他相当于上述层次的顶尖人才。</w:t>
            </w:r>
          </w:p>
        </w:tc>
        <w:tc>
          <w:tcPr>
            <w:tcW w:w="1392" w:type="dxa"/>
            <w:noWrap w:val="0"/>
            <w:vAlign w:val="center"/>
          </w:tcPr>
          <w:p>
            <w:pPr>
              <w:keepNext w:val="0"/>
              <w:keepLines w:val="0"/>
              <w:pageBreakBefore w:val="0"/>
              <w:widowControl w:val="0"/>
              <w:numPr>
                <w:ilvl w:val="0"/>
                <w:numId w:val="0"/>
              </w:numPr>
              <w:tabs>
                <w:tab w:val="center" w:pos="1951"/>
              </w:tabs>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highlight w:val="none"/>
                <w:vertAlign w:val="baseline"/>
                <w:lang w:val="en-US"/>
              </w:rPr>
            </w:pPr>
            <w:r>
              <w:rPr>
                <w:rFonts w:hint="eastAsia" w:ascii="仿宋_GB2312" w:hAnsi="仿宋_GB2312" w:eastAsia="仿宋_GB2312" w:cs="仿宋_GB2312"/>
                <w:color w:val="auto"/>
                <w:sz w:val="28"/>
                <w:szCs w:val="28"/>
                <w:highlight w:val="none"/>
                <w:vertAlign w:val="baseline"/>
                <w:lang w:val="en-US" w:eastAsia="zh-CN"/>
              </w:rPr>
              <w:t>不低于</w:t>
            </w:r>
            <w:r>
              <w:rPr>
                <w:rFonts w:hint="eastAsia" w:ascii="仿宋_GB2312" w:hAnsi="仿宋_GB2312" w:eastAsia="仿宋_GB2312" w:cs="仿宋_GB2312"/>
                <w:color w:val="auto"/>
                <w:sz w:val="28"/>
                <w:szCs w:val="28"/>
                <w:highlight w:val="none"/>
                <w:lang w:val="en-US" w:eastAsia="zh-CN"/>
              </w:rPr>
              <w:t>50万元</w:t>
            </w:r>
            <w:r>
              <w:rPr>
                <w:rFonts w:hint="eastAsia" w:ascii="仿宋_GB2312" w:hAnsi="仿宋_GB2312" w:eastAsia="仿宋_GB2312" w:cs="仿宋_GB2312"/>
                <w:color w:val="auto"/>
                <w:sz w:val="28"/>
                <w:szCs w:val="28"/>
                <w:highlight w:val="none"/>
                <w:vertAlign w:val="baseline"/>
                <w:lang w:val="en-US" w:eastAsia="zh-CN"/>
              </w:rPr>
              <w:t>，</w:t>
            </w:r>
            <w:r>
              <w:rPr>
                <w:rFonts w:hint="eastAsia" w:ascii="仿宋_GB2312" w:hAnsi="仿宋_GB2312" w:eastAsia="仿宋_GB2312" w:cs="仿宋_GB2312"/>
                <w:color w:val="auto"/>
                <w:sz w:val="28"/>
                <w:szCs w:val="28"/>
                <w:highlight w:val="none"/>
              </w:rPr>
              <w:t>一事一议</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特事特办</w:t>
            </w:r>
          </w:p>
        </w:tc>
        <w:tc>
          <w:tcPr>
            <w:tcW w:w="15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不低于100万元，</w:t>
            </w:r>
            <w:r>
              <w:rPr>
                <w:rFonts w:hint="eastAsia" w:ascii="仿宋_GB2312" w:hAnsi="仿宋_GB2312" w:eastAsia="仿宋_GB2312" w:cs="仿宋_GB2312"/>
                <w:color w:val="auto"/>
                <w:sz w:val="28"/>
                <w:szCs w:val="28"/>
                <w:highlight w:val="none"/>
              </w:rPr>
              <w:t>一事一议</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特事特办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0" w:hRule="atLeast"/>
          <w:jc w:val="center"/>
        </w:trPr>
        <w:tc>
          <w:tcPr>
            <w:tcW w:w="14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黑体" w:hAnsi="黑体" w:eastAsia="黑体" w:cs="黑体"/>
                <w:color w:val="000000"/>
                <w:sz w:val="28"/>
                <w:szCs w:val="28"/>
                <w:highlight w:val="none"/>
                <w:lang w:val="en-US" w:eastAsia="zh-CN"/>
              </w:rPr>
              <w:t>B</w:t>
            </w:r>
            <w:r>
              <w:rPr>
                <w:rFonts w:hint="eastAsia" w:ascii="黑体" w:hAnsi="黑体" w:eastAsia="黑体" w:cs="黑体"/>
                <w:color w:val="000000"/>
                <w:sz w:val="28"/>
                <w:szCs w:val="28"/>
                <w:highlight w:val="none"/>
              </w:rPr>
              <w:t>类</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vertAlign w:val="baseline"/>
                <w:lang w:val="en-US" w:eastAsia="zh-CN"/>
              </w:rPr>
              <w:t>国家级领军人才。主要包括：1．国家重点人才计划入选者；国家高层次人才特殊支持计划入选者；“新世纪百千万人才工程”国家级人才；国家有突出贡献的中青年专家；全国杰出专业技术人才；国医大师；吴阶平医学奖获奖者；全国宣传文化系统“四个一批”人才；2．以下奖项获得者：国家自然科学奖、国家技术发明奖、国家科学技术进步奖二等奖第一完成人；中国青年女科学家奖；国家级教学成果奖特等奖前3名；中国青年科技奖；中国专利金奖前3名（须为专利发明人及设计人）。省科学技术重大贡献奖项获得者；3．国家重点实验室主任、学术委员会主任；国家工程实验室、国家工程（技术）研究中心、国家能源研发（实验）中心主任；4．中国500强企业总经理级主要经营管理人才；世界 500强总部技术研发和管理团队核心成员；5．其他相当于上述层次的领军人才。</w:t>
            </w:r>
          </w:p>
        </w:tc>
        <w:tc>
          <w:tcPr>
            <w:tcW w:w="13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不低于40万元，</w:t>
            </w:r>
            <w:r>
              <w:rPr>
                <w:rFonts w:hint="eastAsia" w:ascii="仿宋_GB2312" w:hAnsi="仿宋_GB2312" w:eastAsia="仿宋_GB2312" w:cs="仿宋_GB2312"/>
                <w:color w:val="auto"/>
                <w:sz w:val="28"/>
                <w:szCs w:val="28"/>
                <w:highlight w:val="none"/>
              </w:rPr>
              <w:t>一事一议</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vertAlign w:val="baseline"/>
                <w:lang w:val="en-US" w:eastAsia="zh-CN"/>
              </w:rPr>
              <w:t>特事特办</w:t>
            </w:r>
          </w:p>
        </w:tc>
        <w:tc>
          <w:tcPr>
            <w:tcW w:w="15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不低于60万元，</w:t>
            </w:r>
            <w:r>
              <w:rPr>
                <w:rFonts w:hint="eastAsia" w:ascii="仿宋_GB2312" w:hAnsi="仿宋_GB2312" w:eastAsia="仿宋_GB2312" w:cs="仿宋_GB2312"/>
                <w:color w:val="auto"/>
                <w:sz w:val="28"/>
                <w:szCs w:val="28"/>
                <w:highlight w:val="none"/>
              </w:rPr>
              <w:t>一事一议</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特事特办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14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sz w:val="28"/>
                <w:szCs w:val="28"/>
                <w:highlight w:val="none"/>
                <w:vertAlign w:val="baseline"/>
                <w:lang w:val="en-US" w:eastAsia="zh-CN"/>
              </w:rPr>
            </w:pPr>
            <w:r>
              <w:rPr>
                <w:rFonts w:hint="eastAsia" w:ascii="黑体" w:hAnsi="黑体" w:eastAsia="黑体" w:cs="黑体"/>
                <w:color w:val="000000"/>
                <w:sz w:val="28"/>
                <w:szCs w:val="28"/>
                <w:highlight w:val="none"/>
                <w:lang w:val="en-US" w:eastAsia="zh-CN"/>
              </w:rPr>
              <w:t>C</w:t>
            </w:r>
            <w:r>
              <w:rPr>
                <w:rFonts w:hint="eastAsia" w:ascii="黑体" w:hAnsi="黑体" w:eastAsia="黑体" w:cs="黑体"/>
                <w:color w:val="000000"/>
                <w:sz w:val="28"/>
                <w:szCs w:val="28"/>
                <w:highlight w:val="none"/>
              </w:rPr>
              <w:t>类</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vertAlign w:val="baseline"/>
                <w:lang w:val="en-US" w:eastAsia="zh-CN"/>
              </w:rPr>
              <w:t>省级领军人才。主要包括：1．享受国务院特殊津贴专家；2．省级优秀中青年专家；省部级学术技术带头人、优秀专家；省高校教学名师；卫生部有突出贡献的中青年专家；省级工艺美术大师；省级建筑大师；省技能大师；省首席技师；“芙蓉学者”特聘教授；省名中医称号获得者；全国优秀教师；省特级教师；3．国家企业技术中心主任；国家重点实验室、国家工程实验室、国家工程（技术）研究中心、国家能源研发（实验）中心副主任；省部（重点）实验室、国防科技重点实验室、省部工程（技术）研究中心、省部制造业创新中心、省部学术委员会、省部工程实验室主任；4．其他相当于上述层次的领军人才。</w:t>
            </w:r>
          </w:p>
        </w:tc>
        <w:tc>
          <w:tcPr>
            <w:tcW w:w="13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FF0000"/>
                <w:sz w:val="28"/>
                <w:szCs w:val="28"/>
                <w:highlight w:val="none"/>
                <w:vertAlign w:val="baseline"/>
              </w:rPr>
            </w:pPr>
            <w:r>
              <w:rPr>
                <w:rFonts w:hint="eastAsia" w:ascii="仿宋_GB2312" w:hAnsi="仿宋_GB2312" w:eastAsia="仿宋_GB2312" w:cs="仿宋_GB2312"/>
                <w:color w:val="auto"/>
                <w:sz w:val="28"/>
                <w:szCs w:val="28"/>
                <w:highlight w:val="none"/>
                <w:lang w:val="en-US" w:eastAsia="zh-CN"/>
              </w:rPr>
              <w:t xml:space="preserve">  40万元</w:t>
            </w:r>
          </w:p>
        </w:tc>
        <w:tc>
          <w:tcPr>
            <w:tcW w:w="15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FF0000"/>
                <w:spacing w:val="-17"/>
                <w:sz w:val="28"/>
                <w:szCs w:val="28"/>
                <w:highlight w:val="none"/>
                <w:vertAlign w:val="baseline"/>
                <w:lang w:val="en-US"/>
              </w:rPr>
            </w:pPr>
            <w:r>
              <w:rPr>
                <w:rFonts w:hint="eastAsia" w:ascii="仿宋_GB2312" w:hAnsi="仿宋_GB2312" w:eastAsia="仿宋_GB2312" w:cs="仿宋_GB2312"/>
                <w:color w:val="auto"/>
                <w:spacing w:val="-17"/>
                <w:sz w:val="28"/>
                <w:szCs w:val="28"/>
                <w:highlight w:val="none"/>
                <w:lang w:val="en-US" w:eastAsia="zh-CN"/>
              </w:rPr>
              <w:t>每月5000元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4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lang w:val="en-US" w:eastAsia="zh-CN"/>
              </w:rPr>
              <w:t>D</w:t>
            </w:r>
            <w:r>
              <w:rPr>
                <w:rFonts w:hint="eastAsia" w:ascii="黑体" w:hAnsi="黑体" w:eastAsia="黑体" w:cs="黑体"/>
                <w:color w:val="000000"/>
                <w:sz w:val="28"/>
                <w:szCs w:val="28"/>
                <w:highlight w:val="none"/>
              </w:rPr>
              <w:t>类</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vertAlign w:val="baseline"/>
                <w:lang w:val="en-US" w:eastAsia="zh-CN"/>
              </w:rPr>
              <w:t>州级领军人才。主要包括：1．享受省政府特殊津贴专家；2．湖湘工匠获得者；湖南省企业科技创新创业团队带头人；3．具有正高级职称的专业技术人员或高级技师技能等级的高技能人才；4．其他相当于上述层次的领军人才。</w:t>
            </w:r>
          </w:p>
        </w:tc>
        <w:tc>
          <w:tcPr>
            <w:tcW w:w="13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_GB2312" w:hAnsi="仿宋_GB2312" w:eastAsia="仿宋_GB2312" w:cs="仿宋_GB2312"/>
                <w:color w:val="FF0000"/>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20万元</w:t>
            </w:r>
          </w:p>
        </w:tc>
        <w:tc>
          <w:tcPr>
            <w:tcW w:w="15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_GB2312" w:hAnsi="仿宋_GB2312" w:eastAsia="仿宋_GB2312" w:cs="仿宋_GB2312"/>
                <w:color w:val="FF0000"/>
                <w:spacing w:val="-17"/>
                <w:sz w:val="28"/>
                <w:szCs w:val="28"/>
                <w:highlight w:val="none"/>
                <w:vertAlign w:val="baseline"/>
                <w:lang w:val="en-US"/>
              </w:rPr>
            </w:pPr>
            <w:r>
              <w:rPr>
                <w:rFonts w:hint="eastAsia" w:ascii="仿宋_GB2312" w:hAnsi="仿宋_GB2312" w:eastAsia="仿宋_GB2312" w:cs="仿宋_GB2312"/>
                <w:color w:val="auto"/>
                <w:spacing w:val="-17"/>
                <w:sz w:val="28"/>
                <w:szCs w:val="28"/>
                <w:highlight w:val="none"/>
                <w:lang w:val="en-US" w:eastAsia="zh-CN"/>
              </w:rPr>
              <w:t>每月4000元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40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lang w:val="en-US" w:eastAsia="zh-CN"/>
              </w:rPr>
              <w:t>E</w:t>
            </w:r>
            <w:r>
              <w:rPr>
                <w:rFonts w:hint="eastAsia" w:ascii="黑体" w:hAnsi="黑体" w:eastAsia="黑体" w:cs="黑体"/>
                <w:color w:val="000000"/>
                <w:sz w:val="28"/>
                <w:szCs w:val="28"/>
                <w:highlight w:val="none"/>
              </w:rPr>
              <w:t>类</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vertAlign w:val="baseline"/>
                <w:lang w:val="en-US" w:eastAsia="zh-CN"/>
              </w:rPr>
              <w:t>高级人才。主要包括：1．具有博士学历学位、副高级专业技术职务职称或技师技能等级的人才；2．市（州）级优秀中青年专家、享受市（州）级政府津贴的专业技术人员。</w:t>
            </w:r>
          </w:p>
        </w:tc>
        <w:tc>
          <w:tcPr>
            <w:tcW w:w="13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_GB2312" w:hAnsi="仿宋_GB2312" w:eastAsia="仿宋_GB2312" w:cs="仿宋_GB2312"/>
                <w:color w:val="FF0000"/>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10万元</w:t>
            </w:r>
          </w:p>
        </w:tc>
        <w:tc>
          <w:tcPr>
            <w:tcW w:w="15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_GB2312" w:hAnsi="仿宋_GB2312" w:eastAsia="仿宋_GB2312" w:cs="仿宋_GB2312"/>
                <w:color w:val="FF0000"/>
                <w:spacing w:val="-17"/>
                <w:sz w:val="28"/>
                <w:szCs w:val="28"/>
                <w:highlight w:val="none"/>
                <w:vertAlign w:val="baseline"/>
                <w:lang w:val="en-US"/>
              </w:rPr>
            </w:pPr>
            <w:r>
              <w:rPr>
                <w:rFonts w:hint="eastAsia" w:ascii="仿宋_GB2312" w:hAnsi="仿宋_GB2312" w:eastAsia="仿宋_GB2312" w:cs="仿宋_GB2312"/>
                <w:color w:val="auto"/>
                <w:spacing w:val="-17"/>
                <w:sz w:val="28"/>
                <w:szCs w:val="28"/>
                <w:highlight w:val="none"/>
                <w:lang w:val="en-US" w:eastAsia="zh-CN"/>
              </w:rPr>
              <w:t>每月2000元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rPr>
            </w:pPr>
            <w:r>
              <w:rPr>
                <w:rFonts w:hint="eastAsia" w:ascii="黑体" w:hAnsi="黑体" w:eastAsia="黑体" w:cs="黑体"/>
                <w:color w:val="000000"/>
                <w:sz w:val="28"/>
                <w:szCs w:val="28"/>
                <w:highlight w:val="none"/>
                <w:lang w:val="en-US" w:eastAsia="zh-CN"/>
              </w:rPr>
              <w:t>F</w:t>
            </w:r>
            <w:r>
              <w:rPr>
                <w:rFonts w:hint="eastAsia" w:ascii="黑体" w:hAnsi="黑体" w:eastAsia="黑体" w:cs="黑体"/>
                <w:color w:val="000000"/>
                <w:sz w:val="28"/>
                <w:szCs w:val="28"/>
                <w:highlight w:val="none"/>
              </w:rPr>
              <w:t>类</w:t>
            </w:r>
          </w:p>
        </w:tc>
        <w:tc>
          <w:tcPr>
            <w:tcW w:w="7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lang w:val="en-US" w:eastAsia="zh-CN"/>
              </w:rPr>
              <w:t>F1</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highlight w:val="none"/>
                <w:vertAlign w:val="baseline"/>
              </w:rPr>
            </w:pPr>
            <w:r>
              <w:rPr>
                <w:rFonts w:hint="eastAsia" w:ascii="仿宋_GB2312" w:hAnsi="仿宋_GB2312" w:eastAsia="仿宋_GB2312" w:cs="仿宋_GB2312"/>
                <w:color w:val="000000"/>
                <w:sz w:val="28"/>
                <w:szCs w:val="28"/>
                <w:highlight w:val="none"/>
                <w:vertAlign w:val="baseline"/>
                <w:lang w:val="en-US" w:eastAsia="zh-CN"/>
              </w:rPr>
              <w:t>急需紧缺专业硕士研究生。</w:t>
            </w:r>
          </w:p>
        </w:tc>
        <w:tc>
          <w:tcPr>
            <w:tcW w:w="13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_GB2312" w:hAnsi="仿宋_GB2312" w:eastAsia="仿宋_GB2312" w:cs="仿宋_GB2312"/>
                <w:color w:val="FF0000"/>
                <w:sz w:val="28"/>
                <w:szCs w:val="28"/>
                <w:highlight w:val="none"/>
                <w:vertAlign w:val="baseline"/>
              </w:rPr>
            </w:pPr>
            <w:r>
              <w:rPr>
                <w:rFonts w:hint="eastAsia" w:ascii="仿宋_GB2312" w:hAnsi="仿宋_GB2312" w:eastAsia="仿宋_GB2312" w:cs="仿宋_GB2312"/>
                <w:color w:val="auto"/>
                <w:sz w:val="28"/>
                <w:szCs w:val="28"/>
                <w:highlight w:val="none"/>
                <w:lang w:val="en-US" w:eastAsia="zh-CN"/>
              </w:rPr>
              <w:t>3万元</w:t>
            </w:r>
          </w:p>
        </w:tc>
        <w:tc>
          <w:tcPr>
            <w:tcW w:w="15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_GB2312" w:hAnsi="仿宋_GB2312" w:eastAsia="仿宋_GB2312" w:cs="仿宋_GB2312"/>
                <w:color w:val="FF0000"/>
                <w:spacing w:val="-17"/>
                <w:sz w:val="28"/>
                <w:szCs w:val="28"/>
                <w:highlight w:val="none"/>
                <w:vertAlign w:val="baseline"/>
                <w:lang w:val="en-US"/>
              </w:rPr>
            </w:pPr>
            <w:r>
              <w:rPr>
                <w:rFonts w:hint="eastAsia" w:ascii="仿宋_GB2312" w:hAnsi="仿宋_GB2312" w:eastAsia="仿宋_GB2312" w:cs="仿宋_GB2312"/>
                <w:color w:val="auto"/>
                <w:spacing w:val="-17"/>
                <w:sz w:val="28"/>
                <w:szCs w:val="28"/>
                <w:highlight w:val="none"/>
                <w:lang w:val="en-US" w:eastAsia="zh-CN"/>
              </w:rPr>
              <w:t>每月1200元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rPr>
            </w:pPr>
          </w:p>
        </w:tc>
        <w:tc>
          <w:tcPr>
            <w:tcW w:w="7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sz w:val="28"/>
                <w:szCs w:val="28"/>
                <w:highlight w:val="none"/>
                <w:vertAlign w:val="baseline"/>
                <w:lang w:val="en-US" w:eastAsia="zh-CN"/>
              </w:rPr>
            </w:pPr>
            <w:r>
              <w:rPr>
                <w:rFonts w:hint="eastAsia" w:ascii="黑体" w:hAnsi="黑体" w:eastAsia="黑体" w:cs="黑体"/>
                <w:color w:val="000000"/>
                <w:sz w:val="28"/>
                <w:szCs w:val="28"/>
                <w:highlight w:val="none"/>
                <w:lang w:val="en-US" w:eastAsia="zh-CN"/>
              </w:rPr>
              <w:t>F2</w:t>
            </w:r>
          </w:p>
        </w:tc>
        <w:tc>
          <w:tcPr>
            <w:tcW w:w="53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000000"/>
                <w:sz w:val="28"/>
                <w:szCs w:val="28"/>
                <w:highlight w:val="none"/>
                <w:vertAlign w:val="baseline"/>
                <w:lang w:val="en-US"/>
              </w:rPr>
            </w:pPr>
            <w:r>
              <w:rPr>
                <w:rFonts w:hint="eastAsia" w:ascii="仿宋_GB2312" w:hAnsi="仿宋_GB2312" w:eastAsia="仿宋_GB2312" w:cs="仿宋_GB2312"/>
                <w:color w:val="000000"/>
                <w:sz w:val="28"/>
                <w:szCs w:val="28"/>
                <w:highlight w:val="none"/>
                <w:vertAlign w:val="baseline"/>
                <w:lang w:val="en-US" w:eastAsia="zh-CN"/>
              </w:rPr>
              <w:t>“双一流”大学（学科）建设高校获得学士学位的急需紧缺专业本科毕业生；</w:t>
            </w:r>
            <w:r>
              <w:rPr>
                <w:rFonts w:hint="eastAsia" w:ascii="仿宋_GB2312" w:hAnsi="仿宋_GB2312" w:eastAsia="仿宋_GB2312" w:cs="仿宋_GB2312"/>
                <w:color w:val="000000"/>
                <w:sz w:val="28"/>
                <w:szCs w:val="28"/>
                <w:highlight w:val="none"/>
              </w:rPr>
              <w:t>教育部直属师范大学公费师范毕业生</w:t>
            </w:r>
            <w:r>
              <w:rPr>
                <w:rFonts w:hint="eastAsia" w:ascii="仿宋_GB2312" w:hAnsi="仿宋_GB2312" w:eastAsia="仿宋_GB2312" w:cs="仿宋_GB2312"/>
                <w:color w:val="000000"/>
                <w:sz w:val="28"/>
                <w:szCs w:val="28"/>
                <w:highlight w:val="none"/>
                <w:vertAlign w:val="baseline"/>
                <w:lang w:val="en-US" w:eastAsia="zh-CN"/>
              </w:rPr>
              <w:t>。</w:t>
            </w:r>
          </w:p>
        </w:tc>
        <w:tc>
          <w:tcPr>
            <w:tcW w:w="13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_GB2312" w:hAnsi="仿宋_GB2312" w:eastAsia="仿宋_GB2312" w:cs="仿宋_GB2312"/>
                <w:color w:val="FF0000"/>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2万元</w:t>
            </w:r>
          </w:p>
        </w:tc>
        <w:tc>
          <w:tcPr>
            <w:tcW w:w="15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_GB2312" w:hAnsi="仿宋_GB2312" w:eastAsia="仿宋_GB2312" w:cs="仿宋_GB2312"/>
                <w:color w:val="FF0000"/>
                <w:sz w:val="28"/>
                <w:szCs w:val="28"/>
                <w:highlight w:val="none"/>
                <w:vertAlign w:val="baseline"/>
                <w:lang w:val="en-US"/>
              </w:rPr>
            </w:pPr>
            <w:r>
              <w:rPr>
                <w:rFonts w:hint="eastAsia" w:ascii="仿宋_GB2312" w:hAnsi="仿宋_GB2312" w:eastAsia="仿宋_GB2312" w:cs="仿宋_GB2312"/>
                <w:color w:val="auto"/>
                <w:sz w:val="28"/>
                <w:szCs w:val="28"/>
                <w:highlight w:val="none"/>
                <w:lang w:val="en-US" w:eastAsia="zh-CN"/>
              </w:rPr>
              <w:t>每月800元</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注：1.关于购房补助：引进的高层次人才服务期内在州购买首套商品住宅用房（必须是高层次人才本人与其配偶、直系血亲、三代以内旁系血亲及近姻亲以外对象签订的购房合同），签订购房合同后自行下载并填写《湘西州引进高层次人才购房补助申请表》（每人只能申请1次，补助标准超过购房合同价的以购房合同价补助）进行申报，由州委人才办、州人社局审核后分类别按以下方式发放：①州本级机关事业单位引进的高层次人才，在服务期满后一次性拨付到用人单位，由用人单位发放到个人社保卡账户。②吉首大学等中央及省驻州单位纳入州统筹引进的高层次人才，由用人单位提供正式聘用合同以及请求州级发放明细，经州委人才办审核后拨付到用人单位，由用人单位发放到个人。③企业纳入州统筹引进的高层次人才，由用人企业提供劳动合同、工资发放情况、社保缴纳情况以及工作业绩考核情况，经州委人才办、州人社局审核后，由州人社局发放到个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关于生活补助：州本级机关事业单位引进的高层次人才生活补助，原则上每年考核合格后，按年度拨付到用人单位，由用人单位发放到个人社保卡账户。吉首大学等中央及省驻州单位纳入州统筹引进的高层次人才生活补助由用人单位提供正式聘用合同、年度考核情况以及请求州级发放明细，经州委人才办审核后拨付到用人单位，由用人单位发放到个人。企业纳入州统筹引进的高层次人才生活补助由用人企业按年提供劳动合同、工资发放情况、社保缴纳情况以及工作业绩考核情况，经州委人才办、州人社局审核后，由州人社局发放到用人企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3.上述分类目录，由州委人才工作领导小组适时更新调整。</w:t>
      </w:r>
    </w:p>
    <w:p>
      <w:pPr>
        <w:pStyle w:val="5"/>
        <w:keepNext w:val="0"/>
        <w:keepLines w:val="0"/>
        <w:pageBreakBefore w:val="0"/>
        <w:kinsoku/>
        <w:wordWrap/>
        <w:overflowPunct/>
        <w:topLinePunct w:val="0"/>
        <w:autoSpaceDN/>
        <w:bidi w:val="0"/>
        <w:adjustRightInd w:val="0"/>
        <w:spacing w:beforeLines="0" w:line="560" w:lineRule="exact"/>
        <w:textAlignment w:val="auto"/>
        <w:rPr>
          <w:rFonts w:hint="default" w:ascii="Times New Roman" w:hAnsi="Times New Roman" w:eastAsia="楷体_GB2312" w:cs="Times New Roman"/>
          <w:color w:val="000000"/>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ZDBlNzJiMzgzMDMzNjQwODljOTAzZjQyYTU3MWUifQ=="/>
  </w:docVars>
  <w:rsids>
    <w:rsidRoot w:val="7DF0627F"/>
    <w:rsid w:val="7DF0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index 5"/>
    <w:basedOn w:val="1"/>
    <w:next w:val="1"/>
    <w:unhideWhenUsed/>
    <w:qFormat/>
    <w:uiPriority w:val="99"/>
    <w:pPr>
      <w:ind w:left="1680"/>
    </w:pPr>
  </w:style>
  <w:style w:type="paragraph" w:styleId="5">
    <w:name w:val="footer"/>
    <w:basedOn w:val="1"/>
    <w:next w:val="4"/>
    <w:qFormat/>
    <w:uiPriority w:val="0"/>
    <w:pPr>
      <w:tabs>
        <w:tab w:val="center" w:pos="4153"/>
        <w:tab w:val="right" w:pos="8306"/>
      </w:tabs>
      <w:snapToGrid w:val="0"/>
      <w:jc w:val="left"/>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2023-04-25T01:17:00Z</dcterms:created>
  <dc:creator>我爱和平</dc:creator>
  <cp:lastModifiedBy>我爱和平</cp:lastModifiedBy>
  <dcterms:modified xsi:type="dcterms:W3CDTF">2023-04-25T01:17:31Z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AC7523AE7BCB49049D61BEDE12820AEA_11</vt:lpwstr>
  </property>
</Properties>
</file>