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2" w:firstLineChars="150"/>
        <w:rPr>
          <w:rFonts w:ascii="黑体" w:hAnsi="黑体" w:eastAsia="黑体" w:cs="黑体"/>
          <w:bCs/>
          <w:color w:val="000000"/>
          <w:sz w:val="32"/>
          <w:szCs w:val="32"/>
        </w:rPr>
      </w:pPr>
      <w:bookmarkStart w:id="0" w:name="_GoBack"/>
      <w:r>
        <w:rPr>
          <w:rFonts w:ascii="楷体_GB2312" w:hAnsi="仿宋" w:eastAsia="楷体_GB2312" w:cs="楷体_GB2312"/>
          <w:b/>
          <w:bCs/>
          <w:sz w:val="32"/>
          <w:szCs w:val="32"/>
        </w:rPr>
        <mc:AlternateContent>
          <mc:Choice Requires="wps">
            <w:drawing>
              <wp:anchor distT="0" distB="0" distL="114300" distR="114300" simplePos="0" relativeHeight="251659264" behindDoc="0" locked="0" layoutInCell="1" allowOverlap="1">
                <wp:simplePos x="0" y="0"/>
                <wp:positionH relativeFrom="column">
                  <wp:posOffset>-703580</wp:posOffset>
                </wp:positionH>
                <wp:positionV relativeFrom="paragraph">
                  <wp:posOffset>-381000</wp:posOffset>
                </wp:positionV>
                <wp:extent cx="752475" cy="42862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752475" cy="42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黑体" w:hAnsi="黑体" w:eastAsia="黑体"/>
                                <w:sz w:val="32"/>
                                <w:szCs w:val="32"/>
                              </w:rPr>
                            </w:pPr>
                            <w:r>
                              <w:rPr>
                                <w:rFonts w:hint="eastAsia" w:ascii="黑体" w:hAnsi="黑体" w:eastAsia="黑体"/>
                                <w:sz w:val="32"/>
                                <w:szCs w:val="32"/>
                              </w:rPr>
                              <w:t>附件1</w:t>
                            </w:r>
                          </w:p>
                        </w:txbxContent>
                      </wps:txbx>
                      <wps:bodyPr upright="1"/>
                    </wps:wsp>
                  </a:graphicData>
                </a:graphic>
              </wp:anchor>
            </w:drawing>
          </mc:Choice>
          <mc:Fallback>
            <w:pict>
              <v:shape id="_x0000_s1026" o:spid="_x0000_s1026" o:spt="202" type="#_x0000_t202" style="position:absolute;left:0pt;margin-left:-55.4pt;margin-top:-30pt;height:33.75pt;width:59.25pt;z-index:251659264;mso-width-relative:page;mso-height-relative:page;" fillcolor="#FFFFFF" filled="t" stroked="t" coordsize="21600,21600" o:gfxdata="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SGeG9cAAAAIAQAADwAAAAAAAAABACAAAAAi&#10;AAAAZHJzL2Rvd25yZXYueG1sUEsBAhQAFAAAAAgAh07iQEK7NEwLAgAAQwQAAA4AAAAAAAAAAQAg&#10;AAAAJgEAAGRycy9lMm9Eb2MueG1sUEsFBgAAAAAGAAYAWQEAAKMFAAAAAA==&#10;">
                <v:fill on="t" focussize="0,0"/>
                <v:stroke color="#FFFFFF" joinstyle="miter"/>
                <v:imagedata o:title=""/>
                <o:lock v:ext="edit" aspectratio="f"/>
                <v:textbox>
                  <w:txbxContent>
                    <w:p>
                      <w:pPr>
                        <w:rPr>
                          <w:rFonts w:ascii="黑体" w:hAnsi="黑体" w:eastAsia="黑体"/>
                          <w:sz w:val="32"/>
                          <w:szCs w:val="32"/>
                        </w:rPr>
                      </w:pPr>
                      <w:r>
                        <w:rPr>
                          <w:rFonts w:hint="eastAsia" w:ascii="黑体" w:hAnsi="黑体" w:eastAsia="黑体"/>
                          <w:sz w:val="32"/>
                          <w:szCs w:val="32"/>
                        </w:rPr>
                        <w:t>附件1</w:t>
                      </w:r>
                    </w:p>
                  </w:txbxContent>
                </v:textbox>
              </v:shape>
            </w:pict>
          </mc:Fallback>
        </mc:AlternateContent>
      </w:r>
      <w:r>
        <w:rPr>
          <w:rFonts w:hint="eastAsia" w:ascii="楷体_GB2312" w:hAnsi="仿宋" w:eastAsia="楷体_GB2312" w:cs="楷体_GB2312"/>
          <w:b/>
          <w:bCs/>
          <w:sz w:val="32"/>
          <w:szCs w:val="32"/>
        </w:rPr>
        <w:t>2022年娄底市娄星区人民医院公开引进高层次医疗卫生专业技术人才岗位计划与条件一览表</w:t>
      </w:r>
    </w:p>
    <w:bookmarkEnd w:id="0"/>
    <w:tbl>
      <w:tblPr>
        <w:tblStyle w:val="3"/>
        <w:tblW w:w="15051" w:type="dxa"/>
        <w:tblInd w:w="-269" w:type="dxa"/>
        <w:tblLayout w:type="fixed"/>
        <w:tblCellMar>
          <w:top w:w="0" w:type="dxa"/>
          <w:left w:w="0" w:type="dxa"/>
          <w:bottom w:w="0" w:type="dxa"/>
          <w:right w:w="0" w:type="dxa"/>
        </w:tblCellMar>
      </w:tblPr>
      <w:tblGrid>
        <w:gridCol w:w="710"/>
        <w:gridCol w:w="708"/>
        <w:gridCol w:w="736"/>
        <w:gridCol w:w="1488"/>
        <w:gridCol w:w="782"/>
        <w:gridCol w:w="1065"/>
        <w:gridCol w:w="4293"/>
        <w:gridCol w:w="2194"/>
        <w:gridCol w:w="3075"/>
      </w:tblGrid>
      <w:tr>
        <w:tblPrEx>
          <w:tblCellMar>
            <w:top w:w="0" w:type="dxa"/>
            <w:left w:w="0" w:type="dxa"/>
            <w:bottom w:w="0" w:type="dxa"/>
            <w:right w:w="0" w:type="dxa"/>
          </w:tblCellMar>
        </w:tblPrEx>
        <w:trPr>
          <w:trHeight w:val="793" w:hRule="atLeast"/>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序号</w:t>
            </w:r>
          </w:p>
        </w:tc>
        <w:tc>
          <w:tcPr>
            <w:tcW w:w="7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引才单位</w:t>
            </w:r>
          </w:p>
        </w:tc>
        <w:tc>
          <w:tcPr>
            <w:tcW w:w="222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引才岗位</w:t>
            </w:r>
          </w:p>
        </w:tc>
        <w:tc>
          <w:tcPr>
            <w:tcW w:w="7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kern w:val="0"/>
                <w:sz w:val="24"/>
                <w:szCs w:val="24"/>
              </w:rPr>
            </w:pPr>
            <w:r>
              <w:rPr>
                <w:rFonts w:hint="eastAsia" w:ascii="黑体" w:hAnsi="黑体" w:eastAsia="黑体" w:cs="仿宋"/>
                <w:color w:val="000000"/>
                <w:kern w:val="0"/>
                <w:sz w:val="24"/>
                <w:szCs w:val="24"/>
              </w:rPr>
              <w:t>岗位</w:t>
            </w:r>
          </w:p>
          <w:p>
            <w:pPr>
              <w:widowControl/>
              <w:jc w:val="center"/>
              <w:textAlignment w:val="center"/>
              <w:rPr>
                <w:rFonts w:ascii="黑体" w:hAnsi="黑体" w:eastAsia="黑体" w:cs="仿宋"/>
                <w:color w:val="000000"/>
                <w:kern w:val="0"/>
                <w:sz w:val="24"/>
                <w:szCs w:val="24"/>
              </w:rPr>
            </w:pPr>
            <w:r>
              <w:rPr>
                <w:rFonts w:hint="eastAsia" w:ascii="黑体" w:hAnsi="黑体" w:eastAsia="黑体" w:cs="仿宋"/>
                <w:color w:val="000000"/>
                <w:kern w:val="0"/>
                <w:sz w:val="24"/>
                <w:szCs w:val="24"/>
              </w:rPr>
              <w:t>代码</w:t>
            </w:r>
          </w:p>
        </w:tc>
        <w:tc>
          <w:tcPr>
            <w:tcW w:w="10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引进计划数（人）</w:t>
            </w:r>
          </w:p>
        </w:tc>
        <w:tc>
          <w:tcPr>
            <w:tcW w:w="429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最低学历和专业技术职称要求</w:t>
            </w:r>
          </w:p>
        </w:tc>
        <w:tc>
          <w:tcPr>
            <w:tcW w:w="21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年龄要求</w:t>
            </w:r>
          </w:p>
        </w:tc>
        <w:tc>
          <w:tcPr>
            <w:tcW w:w="30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其他要求</w:t>
            </w:r>
          </w:p>
        </w:tc>
      </w:tr>
      <w:tr>
        <w:tblPrEx>
          <w:tblCellMar>
            <w:top w:w="0" w:type="dxa"/>
            <w:left w:w="0" w:type="dxa"/>
            <w:bottom w:w="0" w:type="dxa"/>
            <w:right w:w="0" w:type="dxa"/>
          </w:tblCellMar>
        </w:tblPrEx>
        <w:trPr>
          <w:trHeight w:val="82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rPr>
              <w:t>1</w:t>
            </w:r>
          </w:p>
        </w:tc>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r>
              <w:rPr>
                <w:rFonts w:hint="eastAsia" w:eastAsia="仿宋_GB2312"/>
                <w:color w:val="000000"/>
                <w:kern w:val="0"/>
                <w:sz w:val="22"/>
              </w:rPr>
              <w:t>娄星区人民医院</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textAlignment w:val="center"/>
              <w:rPr>
                <w:rFonts w:eastAsia="仿宋_GB2312"/>
                <w:color w:val="000000"/>
                <w:kern w:val="0"/>
                <w:sz w:val="22"/>
              </w:rPr>
            </w:pPr>
            <w:r>
              <w:rPr>
                <w:rFonts w:hint="eastAsia" w:eastAsia="仿宋_GB2312"/>
                <w:color w:val="000000"/>
                <w:kern w:val="0"/>
                <w:sz w:val="22"/>
              </w:rPr>
              <w:t>娄星区人民医院</w:t>
            </w:r>
          </w:p>
          <w:p>
            <w:pPr>
              <w:widowControl/>
              <w:jc w:val="center"/>
              <w:textAlignment w:val="center"/>
              <w:rPr>
                <w:rFonts w:eastAsia="仿宋_GB2312"/>
                <w:color w:val="000000"/>
                <w:kern w:val="0"/>
                <w:sz w:val="22"/>
              </w:rPr>
            </w:pPr>
          </w:p>
        </w:tc>
        <w:tc>
          <w:tcPr>
            <w:tcW w:w="73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p>
          <w:p>
            <w:pPr>
              <w:widowControl/>
              <w:jc w:val="center"/>
              <w:textAlignment w:val="center"/>
              <w:rPr>
                <w:rFonts w:eastAsia="仿宋_GB2312"/>
                <w:color w:val="000000"/>
                <w:kern w:val="0"/>
                <w:sz w:val="22"/>
              </w:rPr>
            </w:pPr>
            <w:r>
              <w:rPr>
                <w:rFonts w:hint="eastAsia" w:eastAsia="仿宋_GB2312"/>
                <w:color w:val="000000"/>
                <w:kern w:val="0"/>
                <w:sz w:val="22"/>
              </w:rPr>
              <w:t>学科</w:t>
            </w:r>
          </w:p>
          <w:p>
            <w:pPr>
              <w:widowControl/>
              <w:jc w:val="center"/>
              <w:textAlignment w:val="center"/>
              <w:rPr>
                <w:rFonts w:eastAsia="仿宋_GB2312"/>
                <w:color w:val="000000"/>
                <w:kern w:val="0"/>
                <w:sz w:val="22"/>
              </w:rPr>
            </w:pPr>
            <w:r>
              <w:rPr>
                <w:rFonts w:hint="eastAsia" w:eastAsia="仿宋_GB2312"/>
                <w:color w:val="000000"/>
                <w:kern w:val="0"/>
                <w:sz w:val="22"/>
              </w:rPr>
              <w:t>带头人</w:t>
            </w:r>
          </w:p>
          <w:p>
            <w:pPr>
              <w:widowControl/>
              <w:textAlignment w:val="center"/>
              <w:rPr>
                <w:rFonts w:eastAsia="仿宋_GB2312"/>
                <w:color w:val="000000"/>
                <w:kern w:val="0"/>
                <w:sz w:val="22"/>
              </w:rPr>
            </w:pPr>
            <w:r>
              <w:rPr>
                <w:rFonts w:hint="eastAsia" w:eastAsia="仿宋_GB2312"/>
                <w:color w:val="000000"/>
                <w:kern w:val="0"/>
                <w:sz w:val="22"/>
              </w:rPr>
              <w:t>(12人）</w:t>
            </w: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神经内科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A1</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本科，取得神经内科学专业副高职称</w:t>
            </w:r>
          </w:p>
        </w:tc>
        <w:tc>
          <w:tcPr>
            <w:tcW w:w="21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正高职称50岁以下（1972年4月1日以后出生），副高职称45岁以下(1977年4月1日以后出生)</w:t>
            </w:r>
          </w:p>
        </w:tc>
        <w:tc>
          <w:tcPr>
            <w:tcW w:w="30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220" w:firstLineChars="100"/>
              <w:jc w:val="left"/>
              <w:textAlignment w:val="center"/>
              <w:rPr>
                <w:rFonts w:eastAsia="仿宋_GB2312"/>
                <w:color w:val="000000"/>
                <w:kern w:val="0"/>
                <w:sz w:val="22"/>
              </w:rPr>
            </w:pPr>
            <w:r>
              <w:rPr>
                <w:rFonts w:hint="eastAsia" w:eastAsia="仿宋_GB2312"/>
                <w:color w:val="000000"/>
                <w:kern w:val="0"/>
                <w:sz w:val="22"/>
              </w:rPr>
              <w:t>1.需有3年以上二甲及以上综合医院工作经历，具有单独开设临床科室的能力；</w:t>
            </w:r>
          </w:p>
          <w:p>
            <w:pPr>
              <w:widowControl/>
              <w:ind w:firstLine="220" w:firstLineChars="100"/>
              <w:jc w:val="left"/>
              <w:textAlignment w:val="center"/>
              <w:rPr>
                <w:rFonts w:eastAsia="仿宋_GB2312"/>
                <w:color w:val="000000"/>
                <w:kern w:val="0"/>
                <w:sz w:val="22"/>
              </w:rPr>
            </w:pPr>
            <w:r>
              <w:rPr>
                <w:rFonts w:hint="eastAsia" w:eastAsia="仿宋_GB2312"/>
                <w:color w:val="000000"/>
                <w:kern w:val="0"/>
                <w:sz w:val="22"/>
              </w:rPr>
              <w:t>2.神经内科、呼吸内科、肾内科、普外科、肝胆外科、急诊医学、运动康复医学学科带头人需有3年以上二甲及以上综合医院科室副主任及以上任职经历。</w:t>
            </w:r>
          </w:p>
          <w:p>
            <w:pPr>
              <w:widowControl/>
              <w:ind w:firstLine="240" w:firstLineChars="100"/>
              <w:jc w:val="left"/>
              <w:textAlignment w:val="center"/>
              <w:rPr>
                <w:rFonts w:ascii="仿宋" w:hAnsi="仿宋" w:eastAsia="仿宋" w:cs="仿宋"/>
                <w:sz w:val="24"/>
                <w:szCs w:val="24"/>
              </w:rPr>
            </w:pPr>
            <w:r>
              <w:rPr>
                <w:rFonts w:hint="eastAsia" w:ascii="仿宋" w:hAnsi="仿宋" w:eastAsia="仿宋" w:cs="仿宋"/>
                <w:sz w:val="24"/>
                <w:szCs w:val="24"/>
              </w:rPr>
              <w:t>3.感染科学科带头人在二级甲等综合医院从事感染科工作3年以上，可放宽至</w:t>
            </w:r>
            <w:r>
              <w:rPr>
                <w:rFonts w:hint="eastAsia" w:eastAsia="仿宋_GB2312"/>
                <w:color w:val="000000"/>
                <w:kern w:val="0"/>
                <w:sz w:val="22"/>
              </w:rPr>
              <w:t>感染科、呼吸内科专业中级职称，</w:t>
            </w:r>
            <w:r>
              <w:rPr>
                <w:rFonts w:hint="eastAsia" w:ascii="仿宋" w:hAnsi="仿宋" w:eastAsia="仿宋" w:cs="仿宋"/>
                <w:sz w:val="24"/>
                <w:szCs w:val="24"/>
              </w:rPr>
              <w:t>35岁以下（</w:t>
            </w:r>
            <w:r>
              <w:rPr>
                <w:rFonts w:hint="eastAsia" w:eastAsia="仿宋_GB2312"/>
                <w:color w:val="000000"/>
                <w:kern w:val="0"/>
                <w:sz w:val="22"/>
              </w:rPr>
              <w:t>1987年4月1日以后出生</w:t>
            </w:r>
            <w:r>
              <w:rPr>
                <w:rFonts w:hint="eastAsia" w:ascii="仿宋" w:hAnsi="仿宋" w:eastAsia="仿宋" w:cs="仿宋"/>
                <w:sz w:val="24"/>
                <w:szCs w:val="24"/>
              </w:rPr>
              <w:t>）。</w:t>
            </w:r>
          </w:p>
          <w:p>
            <w:pPr>
              <w:widowControl/>
              <w:ind w:firstLine="240" w:firstLineChars="100"/>
              <w:jc w:val="left"/>
              <w:textAlignment w:val="center"/>
              <w:rPr>
                <w:rFonts w:ascii="仿宋" w:hAnsi="仿宋" w:eastAsia="仿宋" w:cs="仿宋"/>
                <w:sz w:val="24"/>
                <w:szCs w:val="24"/>
              </w:rPr>
            </w:pPr>
            <w:r>
              <w:rPr>
                <w:rFonts w:hint="eastAsia" w:ascii="仿宋" w:hAnsi="仿宋" w:eastAsia="仿宋" w:cs="仿宋"/>
                <w:sz w:val="24"/>
                <w:szCs w:val="24"/>
              </w:rPr>
              <w:t>4.紧缺岗位学科带头人副高职称可放宽到50岁以下。</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呼吸内科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A2</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本科，取得呼吸内科学专业副高职称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3</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重症监护病房（ICU）</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A3</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本科，取得急诊医学、重症医学、呼吸内科学专业副高职称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744"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4</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感染科</w:t>
            </w:r>
          </w:p>
          <w:p>
            <w:pPr>
              <w:widowControl/>
              <w:jc w:val="center"/>
              <w:textAlignment w:val="center"/>
              <w:rPr>
                <w:rFonts w:eastAsia="仿宋_GB2312"/>
                <w:color w:val="000000"/>
                <w:kern w:val="0"/>
                <w:sz w:val="22"/>
              </w:rPr>
            </w:pP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A4</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本科，取得感染科学、呼吸内科学专业副高职称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5</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肾内科</w:t>
            </w:r>
          </w:p>
          <w:p>
            <w:pPr>
              <w:widowControl/>
              <w:jc w:val="center"/>
              <w:textAlignment w:val="center"/>
              <w:rPr>
                <w:rFonts w:eastAsia="仿宋_GB2312"/>
                <w:color w:val="000000"/>
                <w:kern w:val="0"/>
                <w:sz w:val="22"/>
              </w:rPr>
            </w:pP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A5</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本科，取得肾内科学专业副高职称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720"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6</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血透中心</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A6</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本科，取得肾内科学专业副高职称，并具备血液透析操作和管理能力。</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7</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急诊医学</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A7</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本科，取得急诊医学专业副高职称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8</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普外科</w:t>
            </w:r>
          </w:p>
          <w:p>
            <w:pPr>
              <w:widowControl/>
              <w:jc w:val="center"/>
              <w:textAlignment w:val="center"/>
              <w:rPr>
                <w:rFonts w:eastAsia="仿宋_GB2312"/>
                <w:color w:val="000000"/>
                <w:kern w:val="0"/>
                <w:sz w:val="22"/>
              </w:rPr>
            </w:pP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A8</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本科，取得普外科学副高职称（胃肠、乳甲外科方向）</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77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9</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肝胆外科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A9</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本科，取得普外科学副高职称（肝胆外科方向）</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480"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10</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眼科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A10</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本科，取得西医眼科学专业副高职称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11</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耳鼻喉科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A11</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本科，取得耳鼻喉科专业副高职称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0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12</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运动康复医学</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A12</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本科，取得康复理疗科专业副高职称</w:t>
            </w:r>
          </w:p>
        </w:tc>
        <w:tc>
          <w:tcPr>
            <w:tcW w:w="21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13</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textAlignment w:val="center"/>
              <w:rPr>
                <w:rFonts w:eastAsia="仿宋_GB2312"/>
                <w:color w:val="000000"/>
                <w:kern w:val="0"/>
                <w:sz w:val="22"/>
              </w:rPr>
            </w:pPr>
            <w:r>
              <w:rPr>
                <w:rFonts w:hint="eastAsia" w:eastAsia="仿宋_GB2312"/>
                <w:color w:val="000000"/>
                <w:kern w:val="0"/>
                <w:sz w:val="22"/>
              </w:rPr>
              <w:t>高职称人才</w:t>
            </w:r>
          </w:p>
          <w:p>
            <w:pPr>
              <w:widowControl/>
              <w:textAlignment w:val="center"/>
              <w:rPr>
                <w:rFonts w:eastAsia="仿宋_GB2312"/>
                <w:color w:val="000000"/>
                <w:kern w:val="0"/>
                <w:sz w:val="22"/>
              </w:rPr>
            </w:pPr>
            <w:r>
              <w:rPr>
                <w:rFonts w:hint="eastAsia" w:eastAsia="仿宋_GB2312"/>
                <w:color w:val="000000"/>
                <w:kern w:val="0"/>
                <w:sz w:val="22"/>
              </w:rPr>
              <w:t>(18人）</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呼吸内科</w:t>
            </w:r>
          </w:p>
        </w:tc>
        <w:tc>
          <w:tcPr>
            <w:tcW w:w="7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w:t>
            </w:r>
          </w:p>
        </w:tc>
        <w:tc>
          <w:tcPr>
            <w:tcW w:w="10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本科，取得呼吸内科学专业副高职称</w:t>
            </w:r>
          </w:p>
          <w:p>
            <w:pPr>
              <w:widowControl/>
              <w:textAlignment w:val="center"/>
              <w:rPr>
                <w:rFonts w:eastAsia="仿宋_GB2312"/>
                <w:color w:val="000000"/>
                <w:kern w:val="0"/>
                <w:sz w:val="22"/>
              </w:rPr>
            </w:pPr>
          </w:p>
        </w:tc>
        <w:tc>
          <w:tcPr>
            <w:tcW w:w="21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textAlignment w:val="center"/>
              <w:rPr>
                <w:rFonts w:eastAsia="仿宋_GB2312"/>
                <w:color w:val="000000"/>
                <w:kern w:val="0"/>
                <w:sz w:val="22"/>
              </w:rPr>
            </w:pPr>
            <w:r>
              <w:rPr>
                <w:rFonts w:hint="eastAsia" w:eastAsia="仿宋_GB2312"/>
                <w:color w:val="000000"/>
                <w:kern w:val="0"/>
                <w:sz w:val="22"/>
              </w:rPr>
              <w:t>正高职称50岁以下（1972年4月1日以后出生），副高职称45岁以下(1977年4月1日以后出生)</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tc>
        <w:tc>
          <w:tcPr>
            <w:tcW w:w="30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jc w:val="left"/>
              <w:textAlignment w:val="center"/>
              <w:rPr>
                <w:rFonts w:eastAsia="仿宋_GB2312"/>
                <w:color w:val="000000"/>
                <w:kern w:val="0"/>
                <w:sz w:val="22"/>
              </w:rPr>
            </w:pPr>
          </w:p>
          <w:p>
            <w:pPr>
              <w:widowControl/>
              <w:ind w:firstLine="440" w:firstLineChars="200"/>
              <w:jc w:val="left"/>
              <w:textAlignment w:val="center"/>
              <w:rPr>
                <w:rFonts w:eastAsia="仿宋_GB2312"/>
                <w:color w:val="000000"/>
                <w:kern w:val="0"/>
                <w:sz w:val="22"/>
              </w:rPr>
            </w:pPr>
            <w:r>
              <w:rPr>
                <w:rFonts w:hint="eastAsia" w:eastAsia="仿宋_GB2312"/>
                <w:color w:val="000000"/>
                <w:kern w:val="0"/>
                <w:sz w:val="22"/>
              </w:rPr>
              <w:t>需有3年以上二级以上医院工作经历</w:t>
            </w: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90"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14</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消化内科</w:t>
            </w:r>
          </w:p>
        </w:tc>
        <w:tc>
          <w:tcPr>
            <w:tcW w:w="782"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B2</w:t>
            </w:r>
          </w:p>
        </w:tc>
        <w:tc>
          <w:tcPr>
            <w:tcW w:w="1065"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本科，取得消化内科学专业副高职称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7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15</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小儿内科学</w:t>
            </w:r>
          </w:p>
        </w:tc>
        <w:tc>
          <w:tcPr>
            <w:tcW w:w="782"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B3</w:t>
            </w:r>
          </w:p>
        </w:tc>
        <w:tc>
          <w:tcPr>
            <w:tcW w:w="1065"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本科，取得小儿内科学专业副高职称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00"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16</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中医儿科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B4</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本科，取得中医儿科学专业副高职称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17</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儿童保健学</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B5</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本科，取得儿童保健学专业副高职称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0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18</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普外科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B6</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本科，取得普外科学专业副高职称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4"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19</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妇产科学</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B7</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本科，取得妇产科学专业副高职称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84"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20</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麻醉学</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B8</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本科，取得麻醉学专业副高职称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772"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21</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超声医学</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B9</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本科，取得超声医学专业副高职称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74"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22</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心电图技术</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B10</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本科，取得心电图技术专业副高职称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88"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23</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内科护理</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B11</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本科，取得内科护理学专业副高职称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67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24</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儿科护理</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B12</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本科，取得儿科护理学专业副高职称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984"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25</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妇产科护理</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B13</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本科，取得妇产科护理学专业副高职称</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3"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26</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高学历人才</w:t>
            </w:r>
          </w:p>
          <w:p>
            <w:pPr>
              <w:widowControl/>
              <w:jc w:val="center"/>
              <w:textAlignment w:val="center"/>
              <w:rPr>
                <w:rFonts w:eastAsia="仿宋_GB2312"/>
                <w:color w:val="000000"/>
                <w:kern w:val="0"/>
                <w:sz w:val="22"/>
              </w:rPr>
            </w:pPr>
            <w:r>
              <w:rPr>
                <w:rFonts w:hint="eastAsia" w:eastAsia="仿宋_GB2312"/>
                <w:color w:val="000000"/>
                <w:kern w:val="0"/>
                <w:sz w:val="22"/>
              </w:rPr>
              <w:t>(20人)</w:t>
            </w:r>
          </w:p>
          <w:p>
            <w:pPr>
              <w:widowControl/>
              <w:jc w:val="center"/>
              <w:textAlignment w:val="center"/>
              <w:rPr>
                <w:rFonts w:eastAsia="仿宋_GB2312"/>
                <w:color w:val="000000"/>
                <w:kern w:val="0"/>
                <w:sz w:val="22"/>
              </w:rPr>
            </w:pPr>
          </w:p>
          <w:p>
            <w:pPr>
              <w:widowControl/>
              <w:ind w:firstLine="1100" w:firstLineChars="500"/>
              <w:textAlignment w:val="center"/>
              <w:rPr>
                <w:rFonts w:eastAsia="仿宋_GB2312"/>
                <w:color w:val="000000"/>
                <w:kern w:val="0"/>
                <w:sz w:val="22"/>
              </w:rPr>
            </w:pPr>
            <w:r>
              <w:rPr>
                <w:rFonts w:hint="eastAsia" w:eastAsia="仿宋_GB2312"/>
                <w:color w:val="000000"/>
                <w:kern w:val="0"/>
                <w:sz w:val="22"/>
              </w:rPr>
              <w:t>普</w:t>
            </w: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儿科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西医类临床医学或儿科学博士研究生</w:t>
            </w:r>
          </w:p>
        </w:tc>
        <w:tc>
          <w:tcPr>
            <w:tcW w:w="2194"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博士研究生40岁以下(1982年4月1日以后出生)，硕士研究生35岁以下（1987年4月1日以后出生）</w:t>
            </w:r>
          </w:p>
        </w:tc>
        <w:tc>
          <w:tcPr>
            <w:tcW w:w="307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szCs w:val="24"/>
              </w:rPr>
            </w:pPr>
          </w:p>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38"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27</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新生儿科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C2</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西医类临床医学或儿科学博士研究生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28</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妇科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C3</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西医类临床医学或妇产科学博士研究生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3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29</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440" w:firstLineChars="200"/>
              <w:textAlignment w:val="center"/>
              <w:rPr>
                <w:rFonts w:eastAsia="仿宋_GB2312"/>
                <w:color w:val="000000"/>
                <w:kern w:val="0"/>
                <w:sz w:val="22"/>
              </w:rPr>
            </w:pPr>
            <w:r>
              <w:rPr>
                <w:rFonts w:hint="eastAsia" w:eastAsia="仿宋_GB2312"/>
                <w:color w:val="000000"/>
                <w:kern w:val="0"/>
                <w:sz w:val="22"/>
              </w:rPr>
              <w:t>产科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C4</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西医类临床医学或妇产科学博士研究生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58"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30</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呼吸内科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C5</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西医类临床医学或内科学硕士研究生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38"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rPr>
            </w:pPr>
            <w:r>
              <w:rPr>
                <w:rFonts w:hint="eastAsia" w:ascii="宋体" w:hAnsi="宋体" w:cs="仿宋"/>
                <w:color w:val="000000"/>
                <w:kern w:val="0"/>
                <w:szCs w:val="21"/>
              </w:rPr>
              <w:t>31</w:t>
            </w: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心血管内科</w:t>
            </w:r>
          </w:p>
        </w:tc>
        <w:tc>
          <w:tcPr>
            <w:tcW w:w="78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C6</w:t>
            </w:r>
          </w:p>
        </w:tc>
        <w:tc>
          <w:tcPr>
            <w:tcW w:w="10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西医类临床医学或内科学硕士研究生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6"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32</w:t>
            </w:r>
          </w:p>
        </w:tc>
        <w:tc>
          <w:tcPr>
            <w:tcW w:w="708"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top w:val="single" w:color="auto" w:sz="4" w:space="0"/>
              <w:left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消化内科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C7</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西医类临床医学或内科学硕士研究生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33</w:t>
            </w:r>
          </w:p>
        </w:tc>
        <w:tc>
          <w:tcPr>
            <w:tcW w:w="708" w:type="dxa"/>
            <w:vMerge w:val="continue"/>
            <w:tcBorders>
              <w:left w:val="single" w:color="auto"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儿科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C8</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西医类临床医学或儿科学硕士研究生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32"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34</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新生儿科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C9</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西医类临床医学或儿科学硕士研究生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0"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35</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妇科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C10</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西医类临床医学或妇产科学硕士研究生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62"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36</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ind w:firstLine="440" w:firstLineChars="200"/>
              <w:textAlignment w:val="center"/>
              <w:rPr>
                <w:rFonts w:eastAsia="仿宋_GB2312"/>
                <w:color w:val="000000"/>
                <w:kern w:val="0"/>
                <w:sz w:val="22"/>
              </w:rPr>
            </w:pPr>
            <w:r>
              <w:rPr>
                <w:rFonts w:hint="eastAsia" w:eastAsia="仿宋_GB2312"/>
                <w:color w:val="000000"/>
                <w:kern w:val="0"/>
                <w:sz w:val="22"/>
              </w:rPr>
              <w:t>产科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2</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西医类临床医学或妇产科学硕士研究生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42"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37</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ind w:firstLine="440" w:firstLineChars="200"/>
              <w:textAlignment w:val="center"/>
              <w:rPr>
                <w:rFonts w:eastAsia="仿宋_GB2312"/>
                <w:color w:val="000000"/>
                <w:kern w:val="0"/>
                <w:sz w:val="22"/>
              </w:rPr>
            </w:pPr>
            <w:r>
              <w:rPr>
                <w:rFonts w:hint="eastAsia" w:eastAsia="仿宋_GB2312"/>
                <w:color w:val="000000"/>
                <w:kern w:val="0"/>
                <w:sz w:val="22"/>
              </w:rPr>
              <w:t>普外科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C12</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西医类临床医学或外科学硕士研究生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578"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38</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骨外科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C13</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西医类临床医学或外科学硕士研究生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39</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肝胆外科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C14</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color w:val="000000"/>
                <w:kern w:val="0"/>
                <w:sz w:val="22"/>
              </w:rPr>
            </w:pPr>
            <w:r>
              <w:rPr>
                <w:rFonts w:hint="eastAsia" w:eastAsia="仿宋_GB2312"/>
                <w:color w:val="000000"/>
                <w:kern w:val="0"/>
                <w:sz w:val="22"/>
              </w:rPr>
              <w:t>西医类临床医学或外科学硕士研究生</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399"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仿宋"/>
                <w:color w:val="000000"/>
                <w:kern w:val="0"/>
                <w:szCs w:val="21"/>
              </w:rPr>
            </w:pPr>
            <w:r>
              <w:rPr>
                <w:rFonts w:hint="eastAsia" w:ascii="宋体" w:hAnsi="宋体" w:cs="仿宋"/>
                <w:color w:val="000000"/>
                <w:kern w:val="0"/>
                <w:szCs w:val="21"/>
              </w:rPr>
              <w:t>40</w:t>
            </w:r>
          </w:p>
        </w:tc>
        <w:tc>
          <w:tcPr>
            <w:tcW w:w="708" w:type="dxa"/>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7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ind w:firstLine="1100" w:firstLineChars="500"/>
              <w:textAlignment w:val="center"/>
              <w:rPr>
                <w:rFonts w:eastAsia="仿宋_GB2312"/>
                <w:color w:val="000000"/>
                <w:kern w:val="0"/>
                <w:sz w:val="22"/>
              </w:rPr>
            </w:pPr>
          </w:p>
        </w:tc>
        <w:tc>
          <w:tcPr>
            <w:tcW w:w="14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肛肠外科</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C15</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1</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西医类临床医学或外科学硕士研究生（女性优先）</w:t>
            </w:r>
          </w:p>
        </w:tc>
        <w:tc>
          <w:tcPr>
            <w:tcW w:w="2194"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r>
        <w:tblPrEx>
          <w:tblCellMar>
            <w:top w:w="0" w:type="dxa"/>
            <w:left w:w="0" w:type="dxa"/>
            <w:bottom w:w="0" w:type="dxa"/>
            <w:right w:w="0" w:type="dxa"/>
          </w:tblCellMar>
        </w:tblPrEx>
        <w:trPr>
          <w:trHeight w:val="440" w:hRule="atLeast"/>
        </w:trPr>
        <w:tc>
          <w:tcPr>
            <w:tcW w:w="364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合计</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color w:val="000000"/>
                <w:kern w:val="0"/>
                <w:sz w:val="22"/>
              </w:rPr>
            </w:pPr>
            <w:r>
              <w:rPr>
                <w:rFonts w:hint="eastAsia" w:eastAsia="仿宋_GB2312"/>
                <w:color w:val="000000"/>
                <w:kern w:val="0"/>
                <w:sz w:val="22"/>
              </w:rPr>
              <w:t>50</w:t>
            </w:r>
          </w:p>
        </w:tc>
        <w:tc>
          <w:tcPr>
            <w:tcW w:w="4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21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0"/>
                <w:sz w:val="22"/>
              </w:rPr>
            </w:pPr>
          </w:p>
        </w:tc>
      </w:tr>
    </w:tbl>
    <w:p/>
    <w:sectPr>
      <w:pgSz w:w="16838" w:h="11906" w:orient="landscape"/>
      <w:pgMar w:top="1134" w:right="1080" w:bottom="141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34BFF"/>
    <w:rsid w:val="4AA3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2022-03-25T06:10:00Z</dcterms:created>
  <dc:creator>闪闪大白牙</dc:creator>
  <cp:lastModifiedBy>闪闪大白牙</cp:lastModifiedBy>
  <dcterms:modified xsi:type="dcterms:W3CDTF">2022-03-25T06:11:36Z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FE152F2DC5BD48FDB26DFB4DC239EBEC</vt:lpwstr>
  </property>
</Properties>
</file>