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湘潭交通发展集团有限公司社会招聘岗位</w:t>
      </w:r>
    </w:p>
    <w:bookmarkEnd w:id="0"/>
    <w:tbl>
      <w:tblPr>
        <w:tblStyle w:val="5"/>
        <w:tblpPr w:leftFromText="180" w:rightFromText="180" w:vertAnchor="text" w:horzAnchor="page" w:tblpX="591" w:tblpY="471"/>
        <w:tblOverlap w:val="never"/>
        <w:tblW w:w="16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768"/>
        <w:gridCol w:w="780"/>
        <w:gridCol w:w="1694"/>
        <w:gridCol w:w="2055"/>
        <w:gridCol w:w="2146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78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8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0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4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2055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46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  <w:tc>
          <w:tcPr>
            <w:tcW w:w="7155" w:type="dxa"/>
            <w:shd w:val="clear" w:color="auto" w:fill="A5A5A5" w:themeFill="background1" w:themeFillShade="A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子公司副经理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14万左右+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奖金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shd w:val="clear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8年以上管理经验、有文旅企业高管任职经验</w:t>
            </w:r>
          </w:p>
        </w:tc>
        <w:tc>
          <w:tcPr>
            <w:tcW w:w="7155" w:type="dxa"/>
            <w:shd w:val="clear" w:color="auto" w:fill="FFFFFF" w:themeFill="background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拥有旅游客户资源，能独立带领并具体指导相关专业人员（团队）开展工作；具有敏锐的市场洞察力，优秀组织能力和市场开拓能力，具有较强的业务谈判和交涉能力。特别优秀的，可适当放宽学历。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子公司副经理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14万左右+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奖金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经济学类、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shd w:val="clear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shd w:val="clear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8年以上会计、财务管理经验、具有</w:t>
            </w:r>
            <w:r>
              <w:rPr>
                <w:rFonts w:hint="eastAsia" w:ascii="仿宋" w:hAnsi="仿宋" w:eastAsia="仿宋_GB2312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注册会</w:t>
            </w:r>
            <w:r>
              <w:rPr>
                <w:rFonts w:hint="eastAsia" w:ascii="仿宋" w:hAnsi="仿宋" w:eastAsia="仿宋_GB2312" w:cs="仿宋"/>
                <w:color w:val="auto"/>
                <w:sz w:val="24"/>
                <w:szCs w:val="24"/>
                <w:lang w:val="en-US" w:eastAsia="zh-CN" w:bidi="ar-SA"/>
              </w:rPr>
              <w:t>计师执业资格</w:t>
            </w:r>
            <w:r>
              <w:rPr>
                <w:rStyle w:val="7"/>
                <w:rFonts w:hint="eastAsia" w:ascii="仿宋" w:hAnsi="仿宋" w:eastAsia="仿宋_GB2312"/>
                <w:color w:val="auto"/>
                <w:sz w:val="24"/>
                <w:szCs w:val="24"/>
              </w:rPr>
              <w:t>者优先</w:t>
            </w:r>
          </w:p>
        </w:tc>
        <w:tc>
          <w:tcPr>
            <w:tcW w:w="7155" w:type="dxa"/>
            <w:shd w:val="clear" w:color="auto" w:fill="FFFFFF" w:themeFill="background1"/>
            <w:vAlign w:val="center"/>
          </w:tcPr>
          <w:p>
            <w:pPr>
              <w:pStyle w:val="8"/>
              <w:tabs>
                <w:tab w:val="left" w:pos="398"/>
              </w:tabs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会计中级职称，有较强的事业心和责任感；具有丰富的财务管理、分析、融资、纳税筹划经验；有良好的沟通协调、组织判断能力；有较强的语言、文字表达能力；能熟练使用财务软件；具有良好的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default" w:ascii="仿宋" w:hAnsi="仿宋" w:eastAsia="仿宋_GB2312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子公司</w:t>
            </w: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</w:rPr>
              <w:t>部长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_GB2312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10万左右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_GB2312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color w:val="auto"/>
                <w:sz w:val="24"/>
                <w:szCs w:val="24"/>
              </w:rPr>
              <w:t>工商管理类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_GB2312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_GB2312"/>
                <w:color w:val="auto"/>
                <w:sz w:val="24"/>
                <w:szCs w:val="24"/>
              </w:rPr>
              <w:t>5年以上市场营销、市场策划管理工作经验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pStyle w:val="8"/>
              <w:tabs>
                <w:tab w:val="left" w:pos="398"/>
              </w:tabs>
              <w:spacing w:line="280" w:lineRule="exact"/>
              <w:ind w:firstLine="0" w:firstLineChars="0"/>
              <w:jc w:val="left"/>
              <w:rPr>
                <w:rFonts w:hint="eastAsia" w:ascii="仿宋" w:hAnsi="仿宋" w:eastAsia="仿宋_GB2312" w:cs="仿宋"/>
                <w:b w:val="0"/>
                <w:bCs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 w:cs="仿宋"/>
                <w:color w:val="auto"/>
                <w:sz w:val="24"/>
                <w:szCs w:val="24"/>
                <w:lang w:val="en-US" w:eastAsia="zh-CN" w:bidi="ar-SA"/>
              </w:rPr>
              <w:t>熟悉市场营销、在销售领域有良好业绩，同时具有深厚的旅游市场资源；具有敏锐的市场洞察力，具有优秀的组织能力和市场开拓能力，有较强的文字功底。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子公司部长（职能类）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9万左右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3年以上人力资源管理工作经验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熟悉国家劳动与就业的相关法律、法规、政策，熟悉人力资源管理及现代企业管理知识，具有较强的综合管理能力和文字表达能力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default" w:ascii="仿宋" w:hAnsi="仿宋" w:eastAsia="仿宋_GB2312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子公司副部长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9万左右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</w:rPr>
              <w:t>土建类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  <w:lang w:val="en-US"/>
              </w:rPr>
              <w:t>3年以上项目管理工作经验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_GB2312" w:cs="仿宋"/>
                <w:b w:val="0"/>
                <w:bCs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</w:rPr>
              <w:t>能熟悉使用office 、CAD等工具，能够协调设计顾问和施工单位解决工程上的设计问题和把控设计</w:t>
            </w: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变更</w:t>
            </w:r>
            <w:r>
              <w:rPr>
                <w:rStyle w:val="7"/>
                <w:rFonts w:hint="eastAsia" w:ascii="仿宋" w:hAnsi="仿宋" w:eastAsia="仿宋_GB2312"/>
                <w:b w:val="0"/>
                <w:bCs/>
                <w:color w:val="auto"/>
                <w:sz w:val="24"/>
                <w:szCs w:val="24"/>
              </w:rPr>
              <w:t>，有良好的文字表达能力和综合协调能力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子公司主管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8万左右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土建类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3年以上的公路、桥梁设计工作经验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具有路桥中级及以上专业技术职称，有路线路基路面设计工作经验，能吃苦耐劳，有较强的综合协调能力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7"/>
                <w:rFonts w:hint="default" w:ascii="仿宋_GB2312" w:hAnsi="仿宋_GB2312" w:eastAsia="仿宋_GB2312" w:cs="仿宋_GB2312"/>
                <w:color w:val="auto"/>
                <w:szCs w:val="24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高级文秘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9万左右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3年以上公文写作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7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有较高的理论政策水平，较强的思维能力、把握全局能力、应变能力、组织协调能力和对外沟通能力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有较高的文字表达、口头表达和沟通能力，中共党员。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0CC8"/>
    <w:rsid w:val="0E3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1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1"/>
    <w:pPr>
      <w:ind w:firstLine="420"/>
    </w:pPr>
  </w:style>
  <w:style w:type="paragraph" w:styleId="3">
    <w:name w:val="Body Text Indent"/>
    <w:basedOn w:val="1"/>
    <w:next w:val="1"/>
    <w:unhideWhenUsed/>
    <w:qFormat/>
    <w:uiPriority w:val="1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2021-03-26T06:13:00Z</dcterms:created>
  <dc:creator>闪闪大白牙</dc:creator>
  <cp:lastModifiedBy>闪闪大白牙</cp:lastModifiedBy>
  <dcterms:modified xsi:type="dcterms:W3CDTF">2021-03-26T06:14:42Z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7FCCD9DA48394558BB92135D92AE1B02</vt:lpwstr>
  </property>
</Properties>
</file>