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附件</w:t>
      </w:r>
      <w:r>
        <w:rPr>
          <w:rFonts w:ascii="仿宋_GB2312" w:hAnsi="宋体" w:eastAsia="仿宋_GB2312" w:cs="仿宋_GB2312"/>
          <w:sz w:val="30"/>
          <w:szCs w:val="30"/>
        </w:rPr>
        <w:t>1</w:t>
      </w:r>
      <w:r>
        <w:rPr>
          <w:rFonts w:hint="eastAsia" w:ascii="仿宋_GB2312" w:hAnsi="宋体" w:eastAsia="仿宋_GB2312" w:cs="仿宋_GB2312"/>
          <w:sz w:val="30"/>
          <w:szCs w:val="30"/>
        </w:rPr>
        <w:t>：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湖南省国际工程咨询中心有限公司</w:t>
      </w:r>
    </w:p>
    <w:p>
      <w:pPr>
        <w:widowControl/>
        <w:spacing w:line="240" w:lineRule="atLeast"/>
        <w:jc w:val="center"/>
        <w:rPr>
          <w:rFonts w:ascii="仿宋" w:hAnsi="仿宋" w:eastAsia="仿宋"/>
          <w:color w:val="313131"/>
          <w:kern w:val="0"/>
          <w:sz w:val="32"/>
          <w:szCs w:val="32"/>
        </w:rPr>
      </w:pPr>
      <w:r>
        <w:rPr>
          <w:rFonts w:hint="eastAsia" w:cs="宋体"/>
          <w:b/>
          <w:bCs/>
          <w:sz w:val="44"/>
          <w:szCs w:val="44"/>
        </w:rPr>
        <w:t>公开招聘职位表</w:t>
      </w:r>
    </w:p>
    <w:bookmarkEnd w:id="0"/>
    <w:tbl>
      <w:tblPr>
        <w:tblStyle w:val="5"/>
        <w:tblW w:w="894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40"/>
        <w:gridCol w:w="631"/>
        <w:gridCol w:w="4111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ascii="仿宋_GB2312" w:hAnsi="楷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仿宋_GB2312" w:hAnsi="楷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  <w:r>
              <w:rPr>
                <w:rFonts w:ascii="仿宋_GB2312" w:hAnsi="楷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招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聘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条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楷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经济学、工学、农学等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420" w:lineRule="exact"/>
              <w:ind w:left="-107" w:leftChars="-51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1.30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周岁以下，男女不限；</w:t>
            </w:r>
          </w:p>
          <w:p>
            <w:pPr>
              <w:widowControl/>
              <w:spacing w:line="420" w:lineRule="exact"/>
              <w:ind w:left="-107" w:leftChars="-51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全日制重点院校博士研究生学历、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博士学位；</w:t>
            </w:r>
          </w:p>
          <w:p>
            <w:pPr>
              <w:widowControl/>
              <w:spacing w:line="420" w:lineRule="exact"/>
              <w:ind w:left="253" w:leftChars="-51" w:hanging="360" w:hangingChars="150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具有良好的品行和职业道德。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shd w:val="clear" w:color="auto" w:fill="FFFFFF"/>
              </w:rPr>
              <w:t>工程师、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shd w:val="clear" w:color="auto" w:fill="FFFFFF"/>
              </w:rPr>
              <w:t>经济师或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shd w:val="clear" w:color="auto" w:fill="FFFFFF"/>
              </w:rPr>
              <w:t>咨询工程师（投资）</w:t>
            </w:r>
          </w:p>
        </w:tc>
        <w:tc>
          <w:tcPr>
            <w:tcW w:w="1440" w:type="dxa"/>
            <w:vAlign w:val="center"/>
          </w:tcPr>
          <w:p>
            <w:pPr>
              <w:rPr>
                <w:rStyle w:val="4"/>
                <w:rFonts w:ascii="仿宋_GB2312" w:hAnsi="仿宋_GB2312" w:eastAsia="仿宋_GB2312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sz w:val="24"/>
                <w:szCs w:val="24"/>
              </w:rPr>
              <w:t>经济类、工程类、农学类等</w:t>
            </w:r>
          </w:p>
        </w:tc>
        <w:tc>
          <w:tcPr>
            <w:tcW w:w="63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  <w:t>5</w:t>
            </w:r>
          </w:p>
        </w:tc>
        <w:tc>
          <w:tcPr>
            <w:tcW w:w="4111" w:type="dxa"/>
          </w:tcPr>
          <w:p>
            <w:pPr>
              <w:widowControl/>
              <w:spacing w:line="4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1.35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周岁及以下，限男性；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全日制重点院校硕士研究生及以上学历；</w:t>
            </w:r>
          </w:p>
          <w:p>
            <w:pPr>
              <w:widowControl/>
              <w:spacing w:line="420" w:lineRule="exact"/>
              <w:ind w:left="35" w:leftChars="-155" w:hanging="360" w:hangingChars="150"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具有工程师、经济师职称或咨询工程师（投资）资格的；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                      4.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咨询工程师（投资）具有建筑专业、农业专业、市政（给排水、市政交通）专业、公路专业、生态建设和环境工程专业、轻工专业、化工专业、机械专业、通信信息专业的优先；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      5.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有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年及以上相关工作经历。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b w:val="0"/>
                <w:bCs w:val="0"/>
                <w:shd w:val="clear" w:color="auto" w:fill="FFFFFF"/>
              </w:rPr>
              <w:t>具有高级技术职称的</w:t>
            </w:r>
            <w:r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  <w:t>,</w:t>
            </w:r>
            <w:r>
              <w:rPr>
                <w:rStyle w:val="4"/>
                <w:rFonts w:hint="eastAsia" w:ascii="仿宋_GB2312" w:eastAsia="仿宋_GB2312" w:cs="仿宋_GB2312"/>
                <w:b w:val="0"/>
                <w:bCs w:val="0"/>
                <w:shd w:val="clear" w:color="auto" w:fill="FFFFFF"/>
              </w:rPr>
              <w:t>可在年龄、学历方面适当放宽。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shd w:val="clear" w:color="auto" w:fill="FFFFFF"/>
              </w:rPr>
              <w:t>环评从业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shd w:val="clear" w:color="auto" w:fill="FFFFFF"/>
              </w:rPr>
              <w:t>人员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b w:val="0"/>
                <w:bCs w:val="0"/>
                <w:shd w:val="clear" w:color="auto" w:fill="FFFFFF"/>
              </w:rPr>
              <w:t>植物学</w:t>
            </w:r>
          </w:p>
        </w:tc>
        <w:tc>
          <w:tcPr>
            <w:tcW w:w="63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>
            <w:pPr>
              <w:widowControl/>
              <w:spacing w:line="4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1.30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周岁以下，限男性；</w:t>
            </w:r>
          </w:p>
          <w:p>
            <w:pPr>
              <w:widowControl/>
              <w:spacing w:line="4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全日制重点院校硕士研究生学历；</w:t>
            </w:r>
          </w:p>
          <w:p>
            <w:pPr>
              <w:widowControl/>
              <w:spacing w:line="420" w:lineRule="exact"/>
              <w:ind w:left="1" w:leftChars="-171" w:hanging="360" w:hangingChars="150"/>
              <w:rPr>
                <w:rStyle w:val="4"/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具有环评工程师资格的优先。</w:t>
            </w:r>
          </w:p>
        </w:tc>
        <w:tc>
          <w:tcPr>
            <w:tcW w:w="1183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Style w:val="4"/>
                <w:rFonts w:ascii="仿宋_GB2312" w:eastAsia="仿宋_GB2312" w:cs="Calibri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建筑方案</w:t>
            </w:r>
          </w:p>
          <w:p>
            <w:pPr>
              <w:jc w:val="center"/>
              <w:rPr>
                <w:rStyle w:val="4"/>
                <w:rFonts w:ascii="仿宋_GB2312" w:eastAsia="仿宋_GB231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主创设计师</w:t>
            </w:r>
          </w:p>
        </w:tc>
        <w:tc>
          <w:tcPr>
            <w:tcW w:w="1440" w:type="dxa"/>
            <w:vAlign w:val="center"/>
          </w:tcPr>
          <w:p>
            <w:pPr>
              <w:rPr>
                <w:rStyle w:val="4"/>
                <w:rFonts w:ascii="仿宋_GB2312" w:hAnsi="仿宋_GB2312" w:eastAsia="仿宋_GB2312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建筑学及相关专业</w:t>
            </w:r>
          </w:p>
        </w:tc>
        <w:tc>
          <w:tcPr>
            <w:tcW w:w="63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1.35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周岁以下，男女不限；</w:t>
            </w:r>
          </w:p>
          <w:p>
            <w:pPr>
              <w:spacing w:line="4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全日制重点院校硕士研究生及以上学历；</w:t>
            </w:r>
          </w:p>
          <w:p>
            <w:pPr>
              <w:spacing w:line="4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具有工程师技术职称；</w:t>
            </w:r>
          </w:p>
          <w:p>
            <w:pPr>
              <w:spacing w:line="4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在大型设计院担任过大型建筑工程设计，有较强的方案设计能力，熟悉从方案到施工图的全过程；</w:t>
            </w:r>
          </w:p>
          <w:p>
            <w:pPr>
              <w:spacing w:line="4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具有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年及以上设计院工作经验，能熟练操作本专业设计软件。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jc w:val="left"/>
              <w:rPr>
                <w:rStyle w:val="4"/>
                <w:rFonts w:ascii="仿宋_GB2312" w:eastAsia="仿宋_GB2312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具有高级技术职称的</w:t>
            </w:r>
            <w:r>
              <w:rPr>
                <w:rStyle w:val="4"/>
                <w:rFonts w:asci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4"/>
                <w:rFonts w:hint="eastAsia" w:asci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可在年龄、学历方面适当放宽。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市政给排水工程师</w:t>
            </w:r>
          </w:p>
        </w:tc>
        <w:tc>
          <w:tcPr>
            <w:tcW w:w="1440" w:type="dxa"/>
            <w:vAlign w:val="center"/>
          </w:tcPr>
          <w:p>
            <w:pPr>
              <w:rPr>
                <w:rStyle w:val="4"/>
                <w:rFonts w:ascii="仿宋_GB2312" w:hAnsi="仿宋_GB2312" w:eastAsia="仿宋_GB2312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给排水及相关专业</w:t>
            </w:r>
          </w:p>
        </w:tc>
        <w:tc>
          <w:tcPr>
            <w:tcW w:w="63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1.35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周岁以下，男女不限；</w:t>
            </w:r>
          </w:p>
          <w:p>
            <w:pPr>
              <w:spacing w:line="4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全日制重点院校硕士研究生及以上学历；</w:t>
            </w:r>
          </w:p>
          <w:p>
            <w:pPr>
              <w:spacing w:line="4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具有工程师技术职称；</w:t>
            </w:r>
          </w:p>
          <w:p>
            <w:pPr>
              <w:spacing w:line="4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具有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年及以上设计院工作经验，能熟练操作本专业设计软件。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jc w:val="left"/>
              <w:rPr>
                <w:rStyle w:val="4"/>
                <w:rFonts w:ascii="仿宋_GB2312" w:eastAsia="仿宋_GB2312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综合文秘</w:t>
            </w:r>
          </w:p>
        </w:tc>
        <w:tc>
          <w:tcPr>
            <w:tcW w:w="1440" w:type="dxa"/>
            <w:vAlign w:val="center"/>
          </w:tcPr>
          <w:p>
            <w:pPr>
              <w:rPr>
                <w:rStyle w:val="4"/>
                <w:rFonts w:ascii="仿宋_GB2312" w:hAnsi="仿宋_GB2312" w:eastAsia="仿宋_GB2312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sz w:val="24"/>
                <w:szCs w:val="24"/>
              </w:rPr>
              <w:t>中文、汉语言文学等相关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63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>
            <w:pPr>
              <w:widowControl/>
              <w:spacing w:line="4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1.30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周岁以下，男女不限；</w:t>
            </w:r>
          </w:p>
          <w:p>
            <w:pPr>
              <w:widowControl/>
              <w:spacing w:line="4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全日制重点院校硕士研究生及以上学历；</w:t>
            </w:r>
          </w:p>
          <w:p>
            <w:pPr>
              <w:widowControl/>
              <w:spacing w:line="420" w:lineRule="exact"/>
              <w:ind w:left="35" w:leftChars="-155" w:hanging="360" w:hangingChars="1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3. 3.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具有较强的写作能力，文字功底扎实；</w:t>
            </w:r>
          </w:p>
          <w:p>
            <w:pPr>
              <w:widowControl/>
              <w:spacing w:line="420" w:lineRule="exact"/>
              <w:ind w:left="35" w:leftChars="-155" w:hanging="360" w:hangingChars="1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4. 4.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有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年及以上党政企事业单位文字综合工作经历者优先。</w:t>
            </w:r>
          </w:p>
        </w:tc>
        <w:tc>
          <w:tcPr>
            <w:tcW w:w="1183" w:type="dxa"/>
            <w:vMerge w:val="restart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Style w:val="4"/>
                <w:rFonts w:ascii="仿宋_GB2312" w:eastAsia="仿宋_GB2312" w:cs="Calibri"/>
                <w:b w:val="0"/>
                <w:bCs w:val="0"/>
                <w:shd w:val="clear" w:color="auto" w:fill="FFFFFF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Style w:val="4"/>
                <w:rFonts w:ascii="仿宋_GB2312" w:eastAsia="仿宋_GB2312" w:cs="Calibri"/>
                <w:b w:val="0"/>
                <w:bCs w:val="0"/>
                <w:shd w:val="clear" w:color="auto" w:fill="FFFFFF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Style w:val="4"/>
                <w:rFonts w:ascii="仿宋_GB2312" w:eastAsia="仿宋_GB2312" w:cs="Calibri"/>
                <w:b w:val="0"/>
                <w:bCs w:val="0"/>
                <w:shd w:val="clear" w:color="auto" w:fill="FFFFFF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Style w:val="4"/>
                <w:rFonts w:ascii="仿宋_GB2312" w:eastAsia="仿宋_GB2312" w:cs="Calibri"/>
                <w:b w:val="0"/>
                <w:bCs w:val="0"/>
                <w:shd w:val="clear" w:color="auto" w:fill="FFFFFF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Style w:val="4"/>
                <w:rFonts w:ascii="仿宋_GB2312" w:eastAsia="仿宋_GB2312" w:cs="Calibri"/>
                <w:b w:val="0"/>
                <w:bCs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shd w:val="clear" w:color="auto" w:fill="FFFFFF"/>
              </w:rPr>
              <w:t>人力资源</w:t>
            </w:r>
          </w:p>
        </w:tc>
        <w:tc>
          <w:tcPr>
            <w:tcW w:w="1440" w:type="dxa"/>
            <w:vAlign w:val="center"/>
          </w:tcPr>
          <w:p>
            <w:pPr>
              <w:rPr>
                <w:rStyle w:val="4"/>
                <w:rFonts w:ascii="仿宋_GB2312" w:hAnsi="仿宋_GB2312" w:eastAsia="仿宋_GB2312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人力资源管理或企业管理等相关专业</w:t>
            </w:r>
          </w:p>
        </w:tc>
        <w:tc>
          <w:tcPr>
            <w:tcW w:w="63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>
            <w:pPr>
              <w:widowControl/>
              <w:spacing w:line="420" w:lineRule="exact"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中共党员，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周岁以下，男女不限；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全日制重点院校硕士研究生及以上学历；</w:t>
            </w:r>
          </w:p>
          <w:p>
            <w:pPr>
              <w:widowControl/>
              <w:spacing w:line="420" w:lineRule="exact"/>
              <w:ind w:left="360" w:hanging="360" w:hangingChars="1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熟悉国家相关劳动法律法规，熟悉</w:t>
            </w:r>
          </w:p>
          <w:p>
            <w:pPr>
              <w:widowControl/>
              <w:spacing w:line="420" w:lineRule="exact"/>
              <w:ind w:left="360" w:hanging="360" w:hangingChars="1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人力资源管理各模块实务操作，具有</w:t>
            </w:r>
          </w:p>
          <w:p>
            <w:pPr>
              <w:widowControl/>
              <w:spacing w:line="420" w:lineRule="exact"/>
              <w:ind w:left="360" w:hanging="360" w:hangingChars="1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较强的文字写作能力。</w:t>
            </w:r>
          </w:p>
        </w:tc>
        <w:tc>
          <w:tcPr>
            <w:tcW w:w="1183" w:type="dxa"/>
            <w:vMerge w:val="continue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Style w:val="4"/>
                <w:rFonts w:ascii="仿宋_GB2312" w:eastAsia="仿宋_GB2312" w:cs="Calibri"/>
                <w:b w:val="0"/>
                <w:bCs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shd w:val="clear" w:color="auto" w:fill="FFFFFF"/>
              </w:rPr>
              <w:t>财务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Style w:val="4"/>
                <w:rFonts w:ascii="仿宋_GB2312" w:hAnsi="仿宋_GB2312" w:eastAsia="仿宋_GB2312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会计或财务管理等相关专业</w:t>
            </w:r>
          </w:p>
        </w:tc>
        <w:tc>
          <w:tcPr>
            <w:tcW w:w="63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>
            <w:pPr>
              <w:widowControl/>
              <w:spacing w:line="420" w:lineRule="exact"/>
              <w:ind w:left="360" w:hanging="360" w:hangingChars="1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1.35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周岁以下，男女不限；</w:t>
            </w:r>
          </w:p>
          <w:p>
            <w:pPr>
              <w:widowControl/>
              <w:spacing w:line="4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全日制重点院校本科及以上学历，具有会计师专业技术职称；</w:t>
            </w:r>
          </w:p>
          <w:p>
            <w:pPr>
              <w:widowControl/>
              <w:spacing w:line="4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熟悉国家财经、税收法律法规，企业财务管理制度及流程，能熟练操作财务软件；</w:t>
            </w:r>
          </w:p>
          <w:p>
            <w:pPr>
              <w:widowControl/>
              <w:spacing w:line="4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具有较强的财务分析能力和文字综合能力；</w:t>
            </w:r>
          </w:p>
          <w:p>
            <w:pPr>
              <w:widowControl/>
              <w:spacing w:line="42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5.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有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年及以上国企财务工作经历。</w:t>
            </w:r>
          </w:p>
        </w:tc>
        <w:tc>
          <w:tcPr>
            <w:tcW w:w="1183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Style w:val="4"/>
                <w:rFonts w:ascii="仿宋_GB2312" w:eastAsia="仿宋_GB2312" w:cs="Calibri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hint="eastAsia" w:ascii="仿宋_GB2312" w:eastAsia="仿宋_GB2312" w:cs="仿宋_GB2312"/>
                <w:b w:val="0"/>
                <w:bCs w:val="0"/>
                <w:shd w:val="clear" w:color="auto" w:fill="FFFFFF"/>
              </w:rPr>
              <w:t>具有高级会计师职称、注册会计师可在学历、年龄上放宽，且优先考虑。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Calibri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rPr>
                <w:rStyle w:val="4"/>
                <w:rFonts w:ascii="仿宋_GB2312" w:hAnsi="仿宋_GB2312" w:eastAsia="仿宋_GB2312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</w:pPr>
            <w:r>
              <w:rPr>
                <w:rStyle w:val="4"/>
                <w:rFonts w:ascii="仿宋_GB2312" w:eastAsia="仿宋_GB2312" w:cs="仿宋_GB2312"/>
                <w:b w:val="0"/>
                <w:bCs w:val="0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>
            <w:pPr>
              <w:widowControl/>
              <w:spacing w:line="420" w:lineRule="exact"/>
              <w:ind w:left="35" w:leftChars="-155" w:hanging="360" w:hangingChars="1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1.1.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具有全日制重点院校本科及以上学历的应届毕业生，女性；</w:t>
            </w:r>
          </w:p>
          <w:p>
            <w:pPr>
              <w:widowControl/>
              <w:spacing w:line="420" w:lineRule="exact"/>
              <w:ind w:left="1" w:leftChars="-171" w:hanging="360" w:hangingChars="150"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313131"/>
                <w:sz w:val="24"/>
                <w:szCs w:val="24"/>
              </w:rPr>
              <w:t>在</w:t>
            </w:r>
            <w:r>
              <w:rPr>
                <w:rFonts w:ascii="仿宋_GB2312" w:hAnsi="仿宋" w:eastAsia="仿宋_GB2312" w:cs="仿宋_GB2312"/>
                <w:color w:val="313131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color w:val="313131"/>
                <w:sz w:val="24"/>
                <w:szCs w:val="24"/>
              </w:rPr>
              <w:t>在校期间担任过学生干部，有一定组织协调能力者优先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Style w:val="4"/>
                <w:rFonts w:ascii="仿宋_GB2312" w:eastAsia="仿宋_GB2312" w:cs="Calibri"/>
                <w:b w:val="0"/>
                <w:bCs w:val="0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06858"/>
    <w:rsid w:val="5DE068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2017-08-02T09:28:00Z</dcterms:created>
  <dc:creator>Administrator</dc:creator>
  <cp:lastModifiedBy>Administrator</cp:lastModifiedBy>
  <dcterms:modified xsi:type="dcterms:W3CDTF">2017-08-02T09:29:08Z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