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附件1. </w:t>
      </w:r>
      <w:r>
        <w:rPr>
          <w:rFonts w:hint="eastAsia"/>
          <w:b/>
          <w:sz w:val="28"/>
          <w:szCs w:val="28"/>
        </w:rPr>
        <w:t>湖南税专2016年公开</w:t>
      </w:r>
      <w:r>
        <w:rPr>
          <w:rFonts w:hint="eastAsia" w:ascii="宋体" w:hAnsi="宋体"/>
          <w:b/>
          <w:sz w:val="28"/>
          <w:szCs w:val="28"/>
        </w:rPr>
        <w:t>选</w:t>
      </w:r>
      <w:r>
        <w:rPr>
          <w:rFonts w:hint="eastAsia"/>
          <w:b/>
          <w:sz w:val="28"/>
          <w:szCs w:val="28"/>
        </w:rPr>
        <w:t>聘专职教师岗位条件和资格表</w:t>
      </w:r>
    </w:p>
    <w:tbl>
      <w:tblPr>
        <w:tblStyle w:val="3"/>
        <w:tblW w:w="10878" w:type="dxa"/>
        <w:tblInd w:w="-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160"/>
        <w:gridCol w:w="720"/>
        <w:gridCol w:w="7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学历与学位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基本要求(工作经历、科研成果等)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财政学、税务及相关专业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全日制研究生以上学历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硕士/博士学位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/高级专业技术职务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身体健康，年龄35周岁以下；高级技术职务人员年龄放宽到40岁以下。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思想政治觉悟高，遵纪守法，普通话标准，热爱税务干部教育培训事业，具有高度的责任心和服务意识，具有良好的职业素养和勤奋敬业的精神；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熟练掌握本学科的政策、法规、业务知识和技能，有培训教学工作和科研项目管理的经验；近几年来有代表性专业学术论文或科研成果；具有良好的分析与组织协调能力、沟通能力、团队协作能力、语言和文字表达能力，能熟练地应用新媒体技术。在税收理论、国际税收、避税反避税、税务稽查、和税收征管实务等方面有较丰富的教学、科研、实践经验者优先，国际税收、避税反避税方向要求大学英语六级以上及相当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会计学、财务管理及相关专业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全日制研究生以上学历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硕士/博士学位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/高级专业技术职务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身体健康，年龄35周岁以下；高级技术职务人员年龄放宽到40岁以下。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思想政治觉悟高，遵纪守法，普通话标准，热爱税务干部教育培训事业，具有高度的责任心和服务意识，具有良好的职业素养和勤奋敬业的精神；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熟练掌握本学科的政策、业务知识和技能，有培训教学工作和科研项目管理的经验，能熟练操作应用财务软件和计算机；具有良好的分析与组织协调能力、沟通能力、团队协作能力、语言和文字表达能力。近几年来有高水平的代表性专业学术论文或科研成果；在税收财务会计、会计电算化等方面有丰富的教学、科研、实践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全日制研究生以上学历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硕士/博士学位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/高级专业技术职务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7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身体健康，年龄35周岁以下；高级技术职务人员年龄放宽到40岁以下。</w:t>
            </w: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思想政治觉悟高，遵纪守法，普通话标准，热爱税务干部教育培训事业，具有高度的责任心和服务意识，具有良好的职业素养和勤奋敬业的精神；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熟练掌握本学科的政策、业务知识和技能，有扎实的理论功底和实践教学能力，较强的科研能力，有培训教学工作和科研项目管理的经验；近几年来有高水平的代表性专业学术成果、学术论文或科研成果；具有良好的分析与组织协调能力、沟通能力、团队协作能力、语言和文字表达能力，能熟练地应用计算机。在法律理论研究、党风廉政建设、税收行政执法等方面有丰富的教学、科研、实践工作经验者优先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F330E"/>
    <w:rsid w:val="315F3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2016-04-01T00:55:00Z</dcterms:created>
  <dc:creator>Administrator</dc:creator>
  <cp:lastModifiedBy>Administrator</cp:lastModifiedBy>
  <dcterms:modified xsi:type="dcterms:W3CDTF">2016-04-01T00:55:39Z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